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>
      <w:pPr>
        <w:spacing w:before="120" w:beforeLines="50" w:after="120" w:afterLines="50"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2022年各市秸秆综合利用工作任务清单</w:t>
      </w:r>
    </w:p>
    <w:tbl>
      <w:tblPr>
        <w:tblStyle w:val="4"/>
        <w:tblW w:w="13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1"/>
        <w:gridCol w:w="1009"/>
        <w:gridCol w:w="817"/>
        <w:gridCol w:w="1120"/>
        <w:gridCol w:w="1311"/>
        <w:gridCol w:w="2693"/>
        <w:gridCol w:w="1985"/>
        <w:gridCol w:w="1933"/>
        <w:gridCol w:w="955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市</w:t>
            </w:r>
          </w:p>
        </w:tc>
        <w:tc>
          <w:tcPr>
            <w:tcW w:w="1086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产出指标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</w:p>
        </w:tc>
        <w:tc>
          <w:tcPr>
            <w:tcW w:w="29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数量指标</w:t>
            </w:r>
          </w:p>
        </w:tc>
        <w:tc>
          <w:tcPr>
            <w:tcW w:w="792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质量指标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社会效益指标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7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编制2022年度实施方案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建设秸秆综合利用重点县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以县为单位建设秸秆</w:t>
            </w:r>
          </w:p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资源台账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重点县秸秆综合利用率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探索有效运行机制和模式（建设沃土模式县、产业模式县、能源化模式县）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布设不少于1个秸秆还田生态效应监测点位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建设秸秆综合利用展示基地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组织编制</w:t>
            </w:r>
          </w:p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本市秸秆</w:t>
            </w:r>
          </w:p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还田技术</w:t>
            </w:r>
          </w:p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规程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市级以上</w:t>
            </w:r>
          </w:p>
          <w:p>
            <w:pPr>
              <w:spacing w:line="240" w:lineRule="exact"/>
              <w:jc w:val="center"/>
              <w:rPr>
                <w:rFonts w:ascii="宋体" w:hAnsi="宋体" w:cs="方正小标宋简体"/>
                <w:bCs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bCs/>
                <w:sz w:val="19"/>
                <w:szCs w:val="19"/>
              </w:rPr>
              <w:t>媒体宣传（次）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太原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大同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广灵县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灵丘县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产业模式县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阳泉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平定县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长治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黎城县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晋城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泽州县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朔州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平鲁区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小标宋简体"/>
                <w:sz w:val="19"/>
                <w:szCs w:val="19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晋中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榆次区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运城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盐湖区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临猗县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忻州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偏关县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能源化模式县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河曲县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小标宋简体"/>
                <w:sz w:val="19"/>
                <w:szCs w:val="19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临汾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洪洞县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沃土模式县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  <w:r>
              <w:rPr>
                <w:rFonts w:hint="eastAsia" w:ascii="宋体" w:hAnsi="宋体" w:cs="方正小标宋简体"/>
                <w:sz w:val="19"/>
                <w:szCs w:val="19"/>
              </w:rPr>
              <w:t>套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隰  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吕梁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柳林县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达到90%以上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方正小标宋简体"/>
                <w:sz w:val="19"/>
                <w:szCs w:val="19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1套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小标宋简体"/>
                <w:sz w:val="19"/>
                <w:szCs w:val="19"/>
              </w:rPr>
            </w:pPr>
            <w:r>
              <w:rPr>
                <w:rFonts w:hint="eastAsia" w:ascii="宋体" w:hAnsi="宋体" w:cs="方正小标宋简体"/>
                <w:sz w:val="19"/>
                <w:szCs w:val="19"/>
              </w:rPr>
              <w:t>≥</w:t>
            </w:r>
            <w:r>
              <w:rPr>
                <w:rFonts w:ascii="宋体" w:hAnsi="宋体" w:cs="方正小标宋简体"/>
                <w:sz w:val="19"/>
                <w:szCs w:val="19"/>
              </w:rPr>
              <w:t>2</w:t>
            </w:r>
          </w:p>
        </w:tc>
      </w:tr>
    </w:tbl>
    <w:p>
      <w:pPr>
        <w:tabs>
          <w:tab w:val="right" w:pos="9070"/>
        </w:tabs>
        <w:spacing w:line="590" w:lineRule="exact"/>
        <w:jc w:val="center"/>
        <w:rPr>
          <w:rFonts w:ascii="仿宋_GB2312" w:eastAsia="仿宋_GB2312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31" w:right="1701" w:bottom="1531" w:left="1701" w:header="851" w:footer="1418" w:gutter="0"/>
          <w:pgNumType w:fmt="numberInDash"/>
          <w:cols w:space="720" w:num="1"/>
          <w:docGrid w:linePitch="634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0152"/>
    <w:rsid w:val="6BFF0152"/>
    <w:rsid w:val="74AD0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480</Characters>
  <Lines>0</Lines>
  <Paragraphs>0</Paragraphs>
  <TotalTime>1.33333333333333</TotalTime>
  <ScaleCrop>false</ScaleCrop>
  <LinksUpToDate>false</LinksUpToDate>
  <CharactersWithSpaces>482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2022-05-10T11:16:00Z</dcterms:created>
  <dc:creator>baixin</dc:creator>
  <cp:lastModifiedBy>苏醒者</cp:lastModifiedBy>
  <dcterms:modified xsi:type="dcterms:W3CDTF">2022-05-11T03:27:09Z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C1DD95CD963940B3BB011FE0D6F16765</vt:lpwstr>
  </property>
</Properties>
</file>