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spacing w:line="240" w:lineRule="auto"/>
        <w:textAlignment w:val="auto"/>
        <w:rPr>
          <w:rFonts w:hint="eastAsia" w:ascii="黑体" w:hAnsi="微软雅黑" w:eastAsia="黑体" w:cs="宋体"/>
          <w:color w:val="000000"/>
          <w:kern w:val="0"/>
          <w:sz w:val="32"/>
          <w:highlight w:val="none"/>
        </w:rPr>
      </w:pPr>
      <w:r>
        <w:rPr>
          <w:rFonts w:hint="eastAsia" w:ascii="黑体" w:hAnsi="微软雅黑" w:eastAsia="黑体" w:cs="宋体"/>
          <w:color w:val="000000"/>
          <w:kern w:val="0"/>
          <w:sz w:val="32"/>
          <w:highlight w:val="none"/>
        </w:rPr>
        <w:t>附件4</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hint="eastAsia" w:ascii="宋体" w:hAnsi="宋体" w:eastAsia="宋体" w:cs="宋体"/>
          <w:color w:val="333333"/>
          <w:kern w:val="0"/>
          <w:sz w:val="24"/>
          <w:szCs w:val="24"/>
          <w:highlight w:val="none"/>
        </w:rPr>
      </w:pPr>
      <w:r>
        <w:rPr>
          <w:rFonts w:ascii="宋体" w:hAnsi="宋体" w:eastAsia="宋体" w:cs="宋体"/>
          <w:color w:val="333333"/>
          <w:kern w:val="0"/>
          <w:sz w:val="32"/>
          <w:highlight w:val="none"/>
        </w:rPr>
        <w:t> </w:t>
      </w:r>
    </w:p>
    <w:p>
      <w:pPr>
        <w:keepNext w:val="0"/>
        <w:keepLines w:val="0"/>
        <w:pageBreakBefore w:val="0"/>
        <w:widowControl/>
        <w:shd w:val="clear" w:color="auto" w:fill="FFFFFF"/>
        <w:kinsoku/>
        <w:wordWrap/>
        <w:overflowPunct/>
        <w:topLinePunct w:val="0"/>
        <w:autoSpaceDE/>
        <w:autoSpaceDN/>
        <w:bidi w:val="0"/>
        <w:spacing w:line="240" w:lineRule="auto"/>
        <w:ind w:firstLine="480"/>
        <w:jc w:val="center"/>
        <w:textAlignment w:val="auto"/>
        <w:rPr>
          <w:rFonts w:ascii="宋体" w:hAnsi="宋体" w:eastAsia="宋体" w:cs="宋体"/>
          <w:color w:val="333333"/>
          <w:kern w:val="0"/>
          <w:sz w:val="24"/>
          <w:szCs w:val="24"/>
          <w:highlight w:val="none"/>
        </w:rPr>
      </w:pPr>
      <w:r>
        <w:rPr>
          <w:rFonts w:hint="eastAsia" w:ascii="华文中宋" w:hAnsi="华文中宋" w:eastAsia="华文中宋" w:cs="宋体"/>
          <w:b/>
          <w:bCs/>
          <w:color w:val="333333"/>
          <w:kern w:val="0"/>
          <w:sz w:val="36"/>
          <w:highlight w:val="none"/>
        </w:rPr>
        <w:t>渔业发展补助资金项目实施方案</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ascii="宋体" w:hAnsi="宋体" w:eastAsia="宋体" w:cs="宋体"/>
          <w:color w:val="333333"/>
          <w:kern w:val="0"/>
          <w:sz w:val="24"/>
          <w:szCs w:val="24"/>
          <w:highlight w:val="none"/>
        </w:rPr>
      </w:pPr>
      <w:r>
        <w:rPr>
          <w:rFonts w:ascii="宋体" w:hAnsi="宋体" w:eastAsia="宋体" w:cs="宋体"/>
          <w:color w:val="333333"/>
          <w:kern w:val="0"/>
          <w:sz w:val="32"/>
          <w:highlight w:val="none"/>
        </w:rPr>
        <w:t> </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中央财政渔业发展补助资金主要用于支持水产品加工和仓储保鲜能力建设</w:t>
      </w:r>
      <w:r>
        <w:rPr>
          <w:rFonts w:hint="eastAsia" w:ascii="方正仿宋_GBK" w:hAnsi="方正仿宋_GBK" w:eastAsia="方正仿宋_GBK" w:cs="方正仿宋_GBK"/>
          <w:color w:val="333333"/>
          <w:kern w:val="0"/>
          <w:sz w:val="32"/>
          <w:szCs w:val="32"/>
          <w:lang w:eastAsia="zh-CN"/>
        </w:rPr>
        <w:t>、</w:t>
      </w:r>
      <w:r>
        <w:rPr>
          <w:rFonts w:hint="eastAsia" w:ascii="方正仿宋_GBK" w:hAnsi="方正仿宋_GBK" w:eastAsia="方正仿宋_GBK" w:cs="方正仿宋_GBK"/>
          <w:color w:val="333333"/>
          <w:kern w:val="0"/>
          <w:sz w:val="32"/>
          <w:szCs w:val="32"/>
        </w:rPr>
        <w:t>集中连片内陆养殖池塘标准化改造和尾水治理等方面工作。具体实施要求按照《财政部农业农村部关于实施渔业发展支持政策推动渔业高质量发展的通知》《农业农村部办公厅财政部办公厅关于开展渔业绿色循环发展试点工作的通知》《河南省渔业发展补助资金管理实施细则》《农业农村部办公厅财政部办公厅关于做好2021年渔业发展补助政策实施工作的通知》等文件要求执行。</w:t>
      </w:r>
    </w:p>
    <w:p>
      <w:pPr>
        <w:keepNext w:val="0"/>
        <w:keepLines w:val="0"/>
        <w:pageBreakBefore w:val="0"/>
        <w:widowControl/>
        <w:numPr>
          <w:ilvl w:val="0"/>
          <w:numId w:val="1"/>
        </w:numPr>
        <w:shd w:val="clear" w:color="auto" w:fill="FFFFFF"/>
        <w:kinsoku/>
        <w:wordWrap/>
        <w:overflowPunct/>
        <w:topLinePunct w:val="0"/>
        <w:autoSpaceDE/>
        <w:autoSpaceDN/>
        <w:bidi w:val="0"/>
        <w:spacing w:line="240" w:lineRule="auto"/>
        <w:ind w:firstLine="640"/>
        <w:textAlignment w:val="auto"/>
        <w:rPr>
          <w:rFonts w:hint="eastAsia" w:ascii="方正黑体_GBK" w:hAnsi="方正黑体_GBK" w:eastAsia="方正黑体_GBK" w:cs="方正黑体_GBK"/>
          <w:color w:val="333333"/>
          <w:kern w:val="0"/>
          <w:sz w:val="32"/>
          <w:szCs w:val="32"/>
          <w:highlight w:val="none"/>
          <w:lang w:eastAsia="zh-CN"/>
        </w:rPr>
      </w:pPr>
      <w:r>
        <w:rPr>
          <w:rFonts w:hint="eastAsia" w:ascii="方正黑体_GBK" w:hAnsi="方正黑体_GBK" w:eastAsia="方正黑体_GBK" w:cs="方正黑体_GBK"/>
          <w:color w:val="333333"/>
          <w:kern w:val="0"/>
          <w:sz w:val="32"/>
          <w:szCs w:val="32"/>
          <w:highlight w:val="none"/>
          <w:lang w:eastAsia="zh-CN"/>
        </w:rPr>
        <w:t>支持水产品初加工和冷藏保鲜设施设备建设</w:t>
      </w:r>
    </w:p>
    <w:p>
      <w:pPr>
        <w:keepNext w:val="0"/>
        <w:keepLines w:val="0"/>
        <w:pageBreakBefore w:val="0"/>
        <w:widowControl/>
        <w:numPr>
          <w:ilvl w:val="0"/>
          <w:numId w:val="0"/>
        </w:numPr>
        <w:shd w:val="clear" w:color="auto" w:fill="FFFFFF"/>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color w:val="333333"/>
          <w:kern w:val="0"/>
          <w:sz w:val="32"/>
          <w:szCs w:val="32"/>
          <w:highlight w:val="none"/>
        </w:rPr>
      </w:pPr>
      <w:r>
        <w:rPr>
          <w:rFonts w:hint="eastAsia" w:ascii="方正仿宋_GBK" w:hAnsi="方正仿宋_GBK" w:eastAsia="方正仿宋_GBK" w:cs="方正仿宋_GBK"/>
          <w:color w:val="333333"/>
          <w:kern w:val="0"/>
          <w:sz w:val="32"/>
          <w:szCs w:val="32"/>
          <w:highlight w:val="none"/>
          <w:lang w:eastAsia="zh-CN"/>
        </w:rPr>
        <w:t>支持</w:t>
      </w:r>
      <w:r>
        <w:rPr>
          <w:rFonts w:hint="eastAsia" w:ascii="方正仿宋_GBK" w:hAnsi="方正仿宋_GBK" w:eastAsia="方正仿宋_GBK" w:cs="方正仿宋_GBK"/>
          <w:color w:val="333333"/>
          <w:kern w:val="0"/>
          <w:sz w:val="32"/>
          <w:szCs w:val="32"/>
          <w:highlight w:val="none"/>
          <w:lang w:val="en-US" w:eastAsia="zh-CN"/>
        </w:rPr>
        <w:t>7个县（市）</w:t>
      </w:r>
      <w:r>
        <w:rPr>
          <w:rFonts w:hint="eastAsia" w:ascii="方正仿宋_GBK" w:hAnsi="方正仿宋_GBK" w:eastAsia="方正仿宋_GBK" w:cs="方正仿宋_GBK"/>
          <w:color w:val="333333"/>
          <w:kern w:val="0"/>
          <w:sz w:val="32"/>
          <w:szCs w:val="32"/>
          <w:highlight w:val="none"/>
          <w:lang w:eastAsia="zh-CN"/>
        </w:rPr>
        <w:t>对</w:t>
      </w:r>
      <w:r>
        <w:rPr>
          <w:rFonts w:hint="eastAsia" w:ascii="方正仿宋_GBK" w:hAnsi="方正仿宋_GBK" w:eastAsia="方正仿宋_GBK" w:cs="方正仿宋_GBK"/>
          <w:color w:val="000000"/>
          <w:kern w:val="0"/>
          <w:sz w:val="32"/>
          <w:szCs w:val="32"/>
          <w:highlight w:val="none"/>
        </w:rPr>
        <w:t>具备加工冷藏能力的</w:t>
      </w:r>
      <w:r>
        <w:rPr>
          <w:rFonts w:hint="eastAsia" w:ascii="方正仿宋_GBK" w:hAnsi="方正仿宋_GBK" w:eastAsia="方正仿宋_GBK" w:cs="方正仿宋_GBK"/>
          <w:color w:val="000000"/>
          <w:kern w:val="0"/>
          <w:sz w:val="32"/>
          <w:szCs w:val="32"/>
          <w:highlight w:val="none"/>
          <w:lang w:eastAsia="zh-CN"/>
        </w:rPr>
        <w:t>渔业</w:t>
      </w:r>
      <w:r>
        <w:rPr>
          <w:rFonts w:hint="eastAsia" w:ascii="方正仿宋_GBK" w:hAnsi="方正仿宋_GBK" w:eastAsia="方正仿宋_GBK" w:cs="方正仿宋_GBK"/>
          <w:color w:val="000000"/>
          <w:kern w:val="0"/>
          <w:sz w:val="32"/>
          <w:szCs w:val="32"/>
          <w:highlight w:val="none"/>
        </w:rPr>
        <w:t>企业</w:t>
      </w:r>
      <w:r>
        <w:rPr>
          <w:rFonts w:hint="eastAsia" w:ascii="方正仿宋_GBK" w:hAnsi="方正仿宋_GBK" w:eastAsia="方正仿宋_GBK" w:cs="方正仿宋_GBK"/>
          <w:color w:val="000000"/>
          <w:kern w:val="0"/>
          <w:sz w:val="32"/>
          <w:szCs w:val="32"/>
          <w:highlight w:val="none"/>
          <w:lang w:eastAsia="zh-CN"/>
        </w:rPr>
        <w:t>和</w:t>
      </w:r>
      <w:r>
        <w:rPr>
          <w:rFonts w:hint="eastAsia" w:ascii="方正仿宋_GBK" w:hAnsi="方正仿宋_GBK" w:eastAsia="方正仿宋_GBK" w:cs="方正仿宋_GBK"/>
          <w:color w:val="000000"/>
          <w:kern w:val="0"/>
          <w:sz w:val="32"/>
          <w:szCs w:val="32"/>
          <w:highlight w:val="none"/>
        </w:rPr>
        <w:t>合作社等</w:t>
      </w:r>
      <w:r>
        <w:rPr>
          <w:rFonts w:hint="eastAsia" w:ascii="方正仿宋_GBK" w:hAnsi="方正仿宋_GBK" w:eastAsia="方正仿宋_GBK" w:cs="方正仿宋_GBK"/>
          <w:color w:val="000000"/>
          <w:kern w:val="0"/>
          <w:sz w:val="32"/>
          <w:szCs w:val="32"/>
          <w:highlight w:val="none"/>
          <w:lang w:eastAsia="zh-CN"/>
        </w:rPr>
        <w:t>购置</w:t>
      </w:r>
      <w:r>
        <w:rPr>
          <w:rFonts w:hint="eastAsia" w:ascii="方正仿宋_GBK" w:hAnsi="方正仿宋_GBK" w:eastAsia="方正仿宋_GBK" w:cs="方正仿宋_GBK"/>
          <w:color w:val="333333"/>
          <w:kern w:val="0"/>
          <w:sz w:val="32"/>
          <w:szCs w:val="32"/>
          <w:highlight w:val="none"/>
          <w:lang w:eastAsia="zh-CN"/>
        </w:rPr>
        <w:t>暂养净化、冷藏冷冻、生态环保等设施和原料处理、分级分割、灭菌包装等设备给予适当补助。补助上限</w:t>
      </w:r>
      <w:r>
        <w:rPr>
          <w:rFonts w:hint="eastAsia" w:ascii="方正仿宋_GBK" w:hAnsi="方正仿宋_GBK" w:eastAsia="方正仿宋_GBK" w:cs="方正仿宋_GBK"/>
          <w:color w:val="333333"/>
          <w:kern w:val="0"/>
          <w:sz w:val="32"/>
          <w:szCs w:val="32"/>
          <w:highlight w:val="none"/>
        </w:rPr>
        <w:t>不超过</w:t>
      </w:r>
      <w:r>
        <w:rPr>
          <w:rFonts w:hint="eastAsia" w:ascii="方正仿宋_GBK" w:hAnsi="方正仿宋_GBK" w:eastAsia="方正仿宋_GBK" w:cs="方正仿宋_GBK"/>
          <w:color w:val="333333"/>
          <w:kern w:val="0"/>
          <w:sz w:val="32"/>
          <w:szCs w:val="32"/>
          <w:highlight w:val="none"/>
          <w:lang w:eastAsia="zh-CN"/>
        </w:rPr>
        <w:t>总造价</w:t>
      </w:r>
      <w:r>
        <w:rPr>
          <w:rFonts w:hint="eastAsia" w:ascii="方正仿宋_GBK" w:hAnsi="方正仿宋_GBK" w:eastAsia="方正仿宋_GBK" w:cs="方正仿宋_GBK"/>
          <w:color w:val="333333"/>
          <w:kern w:val="0"/>
          <w:sz w:val="32"/>
          <w:szCs w:val="32"/>
          <w:highlight w:val="none"/>
        </w:rPr>
        <w:t>的30%，</w:t>
      </w:r>
      <w:r>
        <w:rPr>
          <w:rFonts w:hint="eastAsia" w:ascii="方正仿宋_GBK" w:hAnsi="方正仿宋_GBK" w:eastAsia="方正仿宋_GBK" w:cs="方正仿宋_GBK"/>
          <w:color w:val="333333"/>
          <w:kern w:val="0"/>
          <w:sz w:val="32"/>
          <w:szCs w:val="32"/>
          <w:highlight w:val="none"/>
          <w:lang w:eastAsia="zh-CN"/>
        </w:rPr>
        <w:t>每个</w:t>
      </w:r>
      <w:r>
        <w:rPr>
          <w:rFonts w:hint="eastAsia" w:ascii="方正仿宋_GBK" w:hAnsi="方正仿宋_GBK" w:eastAsia="方正仿宋_GBK" w:cs="方正仿宋_GBK"/>
          <w:color w:val="333333"/>
          <w:kern w:val="0"/>
          <w:sz w:val="32"/>
          <w:szCs w:val="32"/>
          <w:highlight w:val="none"/>
        </w:rPr>
        <w:t>项目</w:t>
      </w:r>
      <w:r>
        <w:rPr>
          <w:rFonts w:hint="eastAsia" w:ascii="方正仿宋_GBK" w:hAnsi="方正仿宋_GBK" w:eastAsia="方正仿宋_GBK" w:cs="方正仿宋_GBK"/>
          <w:color w:val="333333"/>
          <w:kern w:val="0"/>
          <w:sz w:val="32"/>
          <w:szCs w:val="32"/>
          <w:highlight w:val="none"/>
          <w:lang w:eastAsia="zh-CN"/>
        </w:rPr>
        <w:t>单位</w:t>
      </w:r>
      <w:r>
        <w:rPr>
          <w:rFonts w:hint="eastAsia" w:ascii="方正仿宋_GBK" w:hAnsi="方正仿宋_GBK" w:eastAsia="方正仿宋_GBK" w:cs="方正仿宋_GBK"/>
          <w:color w:val="333333"/>
          <w:kern w:val="0"/>
          <w:sz w:val="32"/>
          <w:szCs w:val="32"/>
          <w:highlight w:val="none"/>
        </w:rPr>
        <w:t>补助</w:t>
      </w:r>
      <w:r>
        <w:rPr>
          <w:rFonts w:hint="eastAsia" w:ascii="方正仿宋_GBK" w:hAnsi="方正仿宋_GBK" w:eastAsia="方正仿宋_GBK" w:cs="方正仿宋_GBK"/>
          <w:color w:val="333333"/>
          <w:kern w:val="0"/>
          <w:sz w:val="32"/>
          <w:szCs w:val="32"/>
          <w:highlight w:val="none"/>
          <w:lang w:eastAsia="zh-CN"/>
        </w:rPr>
        <w:t>总额</w:t>
      </w:r>
      <w:r>
        <w:rPr>
          <w:rFonts w:hint="eastAsia" w:ascii="方正仿宋_GBK" w:hAnsi="方正仿宋_GBK" w:eastAsia="方正仿宋_GBK" w:cs="方正仿宋_GBK"/>
          <w:color w:val="333333"/>
          <w:kern w:val="0"/>
          <w:sz w:val="32"/>
          <w:szCs w:val="32"/>
          <w:highlight w:val="none"/>
        </w:rPr>
        <w:t>不超过</w:t>
      </w:r>
      <w:r>
        <w:rPr>
          <w:rFonts w:hint="eastAsia" w:ascii="方正仿宋_GBK" w:hAnsi="方正仿宋_GBK" w:eastAsia="方正仿宋_GBK" w:cs="方正仿宋_GBK"/>
          <w:color w:val="333333"/>
          <w:kern w:val="0"/>
          <w:sz w:val="32"/>
          <w:szCs w:val="32"/>
          <w:highlight w:val="none"/>
          <w:lang w:val="en"/>
        </w:rPr>
        <w:t>300</w:t>
      </w:r>
      <w:r>
        <w:rPr>
          <w:rFonts w:hint="eastAsia" w:ascii="方正仿宋_GBK" w:hAnsi="方正仿宋_GBK" w:eastAsia="方正仿宋_GBK" w:cs="方正仿宋_GBK"/>
          <w:color w:val="333333"/>
          <w:kern w:val="0"/>
          <w:sz w:val="32"/>
          <w:szCs w:val="32"/>
          <w:highlight w:val="none"/>
        </w:rPr>
        <w:t>万元。</w:t>
      </w:r>
    </w:p>
    <w:p>
      <w:pPr>
        <w:keepNext w:val="0"/>
        <w:keepLines w:val="0"/>
        <w:pageBreakBefore w:val="0"/>
        <w:widowControl/>
        <w:numPr>
          <w:ilvl w:val="0"/>
          <w:numId w:val="1"/>
        </w:numPr>
        <w:shd w:val="clear" w:color="auto" w:fill="FFFFFF"/>
        <w:kinsoku/>
        <w:wordWrap/>
        <w:overflowPunct/>
        <w:topLinePunct w:val="0"/>
        <w:autoSpaceDE/>
        <w:autoSpaceDN/>
        <w:bidi w:val="0"/>
        <w:spacing w:line="240" w:lineRule="auto"/>
        <w:ind w:firstLine="640"/>
        <w:textAlignment w:val="auto"/>
        <w:rPr>
          <w:rFonts w:hint="eastAsia" w:ascii="方正黑体_GBK" w:hAnsi="方正黑体_GBK" w:eastAsia="方正黑体_GBK" w:cs="方正黑体_GBK"/>
          <w:color w:val="333333"/>
          <w:kern w:val="0"/>
          <w:sz w:val="32"/>
          <w:szCs w:val="32"/>
          <w:highlight w:val="none"/>
          <w:lang w:eastAsia="zh-CN"/>
        </w:rPr>
      </w:pPr>
      <w:r>
        <w:rPr>
          <w:rFonts w:hint="eastAsia" w:ascii="方正黑体_GBK" w:hAnsi="方正黑体_GBK" w:eastAsia="方正黑体_GBK" w:cs="方正黑体_GBK"/>
          <w:color w:val="333333"/>
          <w:kern w:val="0"/>
          <w:sz w:val="32"/>
          <w:szCs w:val="32"/>
          <w:highlight w:val="none"/>
          <w:lang w:eastAsia="zh-CN"/>
        </w:rPr>
        <w:t>推进渔业绿色循环发展</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pPr>
      <w:r>
        <w:rPr>
          <w:rFonts w:hint="eastAsia" w:ascii="方正仿宋_GBK" w:hAnsi="方正仿宋_GBK" w:eastAsia="方正仿宋_GBK" w:cs="方正仿宋_GBK"/>
          <w:color w:val="333333"/>
          <w:kern w:val="0"/>
          <w:sz w:val="32"/>
          <w:szCs w:val="32"/>
          <w:highlight w:val="none"/>
          <w:lang w:eastAsia="zh-CN"/>
        </w:rPr>
        <w:t>支持</w:t>
      </w:r>
      <w:r>
        <w:rPr>
          <w:rFonts w:hint="eastAsia" w:ascii="方正仿宋_GBK" w:hAnsi="方正仿宋_GBK" w:eastAsia="方正仿宋_GBK" w:cs="方正仿宋_GBK"/>
          <w:color w:val="333333"/>
          <w:kern w:val="0"/>
          <w:sz w:val="32"/>
          <w:szCs w:val="32"/>
          <w:highlight w:val="none"/>
          <w:lang w:val="en-US" w:eastAsia="zh-CN"/>
        </w:rPr>
        <w:t>6个</w:t>
      </w:r>
      <w:r>
        <w:rPr>
          <w:rFonts w:hint="eastAsia" w:ascii="方正仿宋_GBK" w:hAnsi="方正仿宋_GBK" w:eastAsia="方正仿宋_GBK" w:cs="方正仿宋_GBK"/>
          <w:color w:val="333333"/>
          <w:kern w:val="0"/>
          <w:sz w:val="32"/>
          <w:szCs w:val="32"/>
          <w:highlight w:val="none"/>
          <w:lang w:eastAsia="zh-CN"/>
        </w:rPr>
        <w:t>县开展集中连片内陆养殖池塘标准化改造和尾水达标治理，主要用于</w:t>
      </w:r>
      <w:r>
        <w:rPr>
          <w:rFonts w:hint="eastAsia" w:ascii="方正仿宋_GBK" w:hAnsi="方正仿宋_GBK" w:eastAsia="方正仿宋_GBK" w:cs="方正仿宋_GBK"/>
          <w:color w:val="333333"/>
          <w:kern w:val="0"/>
          <w:sz w:val="32"/>
          <w:szCs w:val="32"/>
          <w:highlight w:val="none"/>
        </w:rPr>
        <w:t>养殖池塘标准化改造、尾水达标治理、水质监控和环境调控系统、建立管护机制等方面。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7CF240"/>
    <w:multiLevelType w:val="singleLevel"/>
    <w:tmpl w:val="567CF24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0ZTRlMTk1ZDdlZGVlYTJkYjQwYjBmYWNhZDQ1NmEifQ=="/>
  </w:docVars>
  <w:rsids>
    <w:rsidRoot w:val="274D13F6"/>
    <w:rsid w:val="274D1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tabs>
        <w:tab w:val="right" w:leader="dot" w:pos="9402"/>
      </w:tabs>
      <w:adjustRightInd w:val="0"/>
      <w:snapToGrid w:val="0"/>
      <w:spacing w:line="500" w:lineRule="exact"/>
      <w:jc w:val="distribute"/>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2022-07-15T02:58:00Z</dcterms:created>
  <dc:creator>Lenovo</dc:creator>
  <cp:lastModifiedBy>Lenovo</cp:lastModifiedBy>
  <dcterms:modified xsi:type="dcterms:W3CDTF">2022-07-15T02:59:12Z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2052-11.1.0.11807</vt:lpwstr>
  </property>
  <property fmtid="{D5CDD505-2E9C-101B-9397-08002B2CF9AE}" pid="3" name="ICV">
    <vt:lpwstr>CD0D29B238194FA4A19A52D30D16D9DF</vt:lpwstr>
  </property>
</Properties>
</file>