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0" w:firstLineChars="0"/>
        <w:rPr>
          <w:rFonts w:hint="eastAsia"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spacing w:before="100" w:beforeAutospacing="1" w:after="100" w:afterAutospacing="1" w:line="360" w:lineRule="auto"/>
        <w:ind w:firstLine="0" w:firstLineChars="0"/>
        <w:jc w:val="center"/>
        <w:rPr>
          <w:rFonts w:ascii="Times New Roman" w:hAnsi="Times New Roman" w:eastAsiaTheme="minorEastAsia"/>
          <w:b/>
          <w:sz w:val="44"/>
          <w:szCs w:val="44"/>
        </w:rPr>
      </w:pPr>
      <w:r>
        <w:rPr>
          <w:rFonts w:hint="eastAsia" w:ascii="Times New Roman" w:hAnsi="Times New Roman" w:eastAsiaTheme="minorEastAsia"/>
          <w:b/>
          <w:sz w:val="44"/>
          <w:szCs w:val="44"/>
        </w:rPr>
        <w:t>江西省农机购置与应用补贴稻谷烘干中心成套设施装备建设规范</w:t>
      </w:r>
    </w:p>
    <w:p>
      <w:pPr>
        <w:pStyle w:val="27"/>
        <w:spacing w:before="100" w:beforeAutospacing="1" w:after="100" w:afterAutospacing="1" w:line="360" w:lineRule="auto"/>
        <w:ind w:firstLine="0" w:firstLineChars="0"/>
        <w:jc w:val="center"/>
        <w:rPr>
          <w:rFonts w:ascii="Times New Roman" w:hAnsi="Times New Roman" w:eastAsiaTheme="minorEastAsia"/>
          <w:b/>
          <w:sz w:val="44"/>
          <w:szCs w:val="44"/>
        </w:rPr>
      </w:pPr>
      <w:r>
        <w:rPr>
          <w:rFonts w:hint="eastAsia" w:ascii="Times New Roman" w:hAnsi="Times New Roman" w:eastAsiaTheme="minorEastAsia"/>
          <w:b/>
          <w:sz w:val="44"/>
          <w:szCs w:val="44"/>
        </w:rPr>
        <w:t>（征求意见稿）</w:t>
      </w:r>
      <w:bookmarkStart w:id="417" w:name="_GoBack"/>
      <w:bookmarkEnd w:id="417"/>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0" w:firstLineChars="0"/>
        <w:rPr>
          <w:rFonts w:ascii="Times New Roman" w:hAnsi="Times New Roman"/>
        </w:rPr>
      </w:pPr>
    </w:p>
    <w:p>
      <w:pPr>
        <w:pStyle w:val="27"/>
        <w:ind w:firstLine="1680" w:firstLineChars="600"/>
        <w:rPr>
          <w:rFonts w:ascii="Times New Roman" w:hAnsi="Times New Roman"/>
          <w:sz w:val="28"/>
          <w:szCs w:val="28"/>
        </w:rPr>
      </w:pPr>
      <w:bookmarkStart w:id="0" w:name="_Toc110602286"/>
      <w:bookmarkStart w:id="1" w:name="_Toc110600241"/>
    </w:p>
    <w:p>
      <w:pPr>
        <w:pStyle w:val="27"/>
        <w:ind w:firstLine="1680" w:firstLineChars="600"/>
        <w:rPr>
          <w:rFonts w:ascii="Times New Roman" w:hAnsi="Times New Roman"/>
          <w:sz w:val="28"/>
          <w:szCs w:val="28"/>
        </w:rPr>
      </w:pPr>
    </w:p>
    <w:p>
      <w:pPr>
        <w:pStyle w:val="27"/>
        <w:ind w:firstLine="1680" w:firstLineChars="600"/>
        <w:rPr>
          <w:rFonts w:ascii="Times New Roman" w:hAnsi="Times New Roman"/>
          <w:sz w:val="28"/>
          <w:szCs w:val="28"/>
        </w:rPr>
      </w:pPr>
    </w:p>
    <w:p>
      <w:pPr>
        <w:pStyle w:val="27"/>
        <w:ind w:firstLine="1680" w:firstLineChars="600"/>
        <w:rPr>
          <w:rFonts w:ascii="Times New Roman" w:hAnsi="Times New Roman"/>
          <w:sz w:val="28"/>
          <w:szCs w:val="28"/>
        </w:rPr>
      </w:pPr>
    </w:p>
    <w:bookmarkEnd w:id="0"/>
    <w:bookmarkEnd w:id="1"/>
    <w:p>
      <w:pPr>
        <w:pStyle w:val="27"/>
        <w:ind w:firstLine="0" w:firstLineChars="0"/>
        <w:jc w:val="center"/>
        <w:rPr>
          <w:rFonts w:ascii="Times New Roman" w:hAnsi="Times New Roman"/>
          <w:sz w:val="28"/>
          <w:szCs w:val="28"/>
        </w:rPr>
      </w:pPr>
    </w:p>
    <w:p>
      <w:pPr>
        <w:pStyle w:val="27"/>
        <w:ind w:firstLine="0" w:firstLineChars="0"/>
        <w:jc w:val="left"/>
        <w:rPr>
          <w:rFonts w:ascii="Times New Roman" w:hAnsi="Times New Roman"/>
          <w:sz w:val="28"/>
          <w:szCs w:val="28"/>
        </w:rPr>
      </w:pPr>
    </w:p>
    <w:p>
      <w:pPr>
        <w:pStyle w:val="27"/>
        <w:spacing w:line="360" w:lineRule="auto"/>
        <w:ind w:firstLine="1740" w:firstLineChars="725"/>
        <w:rPr>
          <w:rFonts w:ascii="Times New Roman" w:hAnsi="Times New Roman"/>
          <w:sz w:val="24"/>
          <w:szCs w:val="24"/>
        </w:rPr>
      </w:pPr>
      <w:r>
        <w:rPr>
          <w:rFonts w:ascii="Times New Roman" w:hAnsi="Times New Roman"/>
          <w:sz w:val="24"/>
          <w:szCs w:val="24"/>
        </w:rPr>
        <w:t xml:space="preserve">主编单位： </w:t>
      </w:r>
      <w:bookmarkStart w:id="2" w:name="_Toc110600243"/>
      <w:bookmarkStart w:id="3" w:name="_Toc110602288"/>
      <w:r>
        <w:rPr>
          <w:rFonts w:ascii="Times New Roman" w:hAnsi="Times New Roman"/>
          <w:sz w:val="24"/>
          <w:szCs w:val="24"/>
        </w:rPr>
        <w:t xml:space="preserve"> 江西省农业农村厅农业机械化管理处</w:t>
      </w:r>
      <w:bookmarkEnd w:id="2"/>
      <w:bookmarkEnd w:id="3"/>
    </w:p>
    <w:p>
      <w:pPr>
        <w:pStyle w:val="27"/>
        <w:spacing w:line="360" w:lineRule="auto"/>
        <w:ind w:firstLine="1752" w:firstLineChars="730"/>
        <w:rPr>
          <w:rFonts w:ascii="Times New Roman" w:hAnsi="Times New Roman"/>
          <w:sz w:val="24"/>
          <w:szCs w:val="24"/>
        </w:rPr>
      </w:pPr>
      <w:r>
        <w:rPr>
          <w:rFonts w:hint="eastAsia" w:ascii="Times New Roman" w:hAnsi="Times New Roman"/>
          <w:sz w:val="24"/>
          <w:szCs w:val="24"/>
        </w:rPr>
        <w:t xml:space="preserve">           </w:t>
      </w:r>
      <w:bookmarkStart w:id="4" w:name="_Toc110602292"/>
      <w:bookmarkStart w:id="5" w:name="_Toc110600247"/>
      <w:r>
        <w:rPr>
          <w:rFonts w:ascii="Times New Roman" w:hAnsi="Times New Roman"/>
          <w:sz w:val="24"/>
          <w:szCs w:val="24"/>
        </w:rPr>
        <w:t xml:space="preserve"> </w:t>
      </w:r>
      <w:r>
        <w:rPr>
          <w:rFonts w:hint="eastAsia" w:ascii="Times New Roman" w:hAnsi="Times New Roman"/>
          <w:sz w:val="24"/>
          <w:szCs w:val="24"/>
        </w:rPr>
        <w:t>江西省</w:t>
      </w:r>
      <w:r>
        <w:rPr>
          <w:rFonts w:ascii="Times New Roman" w:hAnsi="Times New Roman"/>
          <w:sz w:val="24"/>
          <w:szCs w:val="24"/>
        </w:rPr>
        <w:t>农业机械化服务中心</w:t>
      </w:r>
      <w:bookmarkEnd w:id="4"/>
      <w:bookmarkEnd w:id="5"/>
    </w:p>
    <w:p>
      <w:pPr>
        <w:pStyle w:val="27"/>
        <w:spacing w:line="360" w:lineRule="auto"/>
        <w:ind w:firstLine="3192" w:firstLineChars="1330"/>
        <w:rPr>
          <w:rFonts w:ascii="Times New Roman" w:hAnsi="Times New Roman"/>
          <w:sz w:val="24"/>
          <w:szCs w:val="24"/>
        </w:rPr>
      </w:pPr>
      <w:r>
        <w:rPr>
          <w:rFonts w:hint="eastAsia" w:ascii="Times New Roman" w:hAnsi="Times New Roman"/>
          <w:sz w:val="24"/>
          <w:szCs w:val="24"/>
        </w:rPr>
        <w:t>江西农业</w:t>
      </w:r>
      <w:r>
        <w:rPr>
          <w:rFonts w:ascii="Times New Roman" w:hAnsi="Times New Roman"/>
          <w:sz w:val="24"/>
          <w:szCs w:val="24"/>
        </w:rPr>
        <w:t>大学</w:t>
      </w:r>
    </w:p>
    <w:p>
      <w:pPr>
        <w:pStyle w:val="27"/>
        <w:ind w:firstLine="0" w:firstLineChars="0"/>
        <w:rPr>
          <w:rFonts w:ascii="Times New Roman" w:hAnsi="Times New Roman"/>
          <w:sz w:val="24"/>
          <w:szCs w:val="24"/>
        </w:rPr>
      </w:pPr>
    </w:p>
    <w:p>
      <w:pPr>
        <w:pStyle w:val="27"/>
        <w:ind w:firstLine="0" w:firstLineChars="0"/>
        <w:jc w:val="center"/>
        <w:rPr>
          <w:rFonts w:ascii="Times New Roman" w:hAnsi="Times New Roman"/>
          <w:sz w:val="28"/>
          <w:szCs w:val="28"/>
        </w:rPr>
        <w:sectPr>
          <w:footerReference r:id="rId5" w:type="default"/>
          <w:pgSz w:w="11906" w:h="16838"/>
          <w:pgMar w:top="1440" w:right="1800" w:bottom="1440" w:left="1800" w:header="851" w:footer="992" w:gutter="0"/>
          <w:pgNumType w:fmt="upperRoman" w:start="1"/>
          <w:cols w:space="425" w:num="1"/>
          <w:titlePg/>
          <w:docGrid w:type="lines" w:linePitch="312" w:charSpace="0"/>
        </w:sectPr>
      </w:pPr>
      <w:r>
        <w:rPr>
          <w:rFonts w:hint="eastAsia" w:ascii="Times New Roman" w:hAnsi="Times New Roman"/>
          <w:sz w:val="24"/>
          <w:szCs w:val="24"/>
        </w:rPr>
        <w:t>二</w:t>
      </w:r>
      <w:r>
        <w:rPr>
          <w:rFonts w:hint="eastAsia" w:ascii="Adobe Gothic Std B" w:hAnsi="Adobe Gothic Std B" w:eastAsia="Adobe Gothic Std B"/>
          <w:sz w:val="24"/>
          <w:szCs w:val="24"/>
        </w:rPr>
        <w:t>◯</w:t>
      </w:r>
      <w:r>
        <w:rPr>
          <w:rFonts w:hint="eastAsia" w:ascii="Times New Roman" w:hAnsi="Times New Roman"/>
          <w:sz w:val="24"/>
          <w:szCs w:val="24"/>
        </w:rPr>
        <w:t>二</w:t>
      </w:r>
      <w:r>
        <w:rPr>
          <w:rFonts w:ascii="Times New Roman" w:hAnsi="Times New Roman"/>
          <w:sz w:val="24"/>
          <w:szCs w:val="24"/>
        </w:rPr>
        <w:t>二年九月</w:t>
      </w:r>
    </w:p>
    <w:sdt>
      <w:sdtPr>
        <w:rPr>
          <w:rFonts w:ascii="Times New Roman" w:hAnsi="Times New Roman" w:cs="Times New Roman"/>
          <w:color w:val="auto"/>
          <w:lang w:val="zh-CN"/>
        </w:rPr>
        <w:id w:val="-1000113239"/>
        <w:docPartObj>
          <w:docPartGallery w:val="Table of Contents"/>
          <w:docPartUnique/>
        </w:docPartObj>
      </w:sdtPr>
      <w:sdtEndPr>
        <w:rPr>
          <w:rFonts w:ascii="Times New Roman" w:hAnsi="Times New Roman" w:eastAsia="黑体" w:cs="Times New Roman"/>
          <w:i/>
          <w:iCs/>
          <w:color w:val="auto"/>
          <w:sz w:val="20"/>
          <w:szCs w:val="20"/>
          <w:lang w:val="zh-CN"/>
        </w:rPr>
      </w:sdtEndPr>
      <w:sdtContent>
        <w:p>
          <w:pPr>
            <w:pStyle w:val="47"/>
            <w:jc w:val="center"/>
            <w:rPr>
              <w:rFonts w:ascii="Times New Roman" w:hAnsi="Times New Roman" w:eastAsia="黑体" w:cs="Times New Roman"/>
              <w:color w:val="auto"/>
            </w:rPr>
          </w:pPr>
          <w:r>
            <w:rPr>
              <w:rFonts w:ascii="Times New Roman" w:hAnsi="Times New Roman" w:cs="Times New Roman" w:eastAsiaTheme="minorEastAsia"/>
              <w:b/>
              <w:color w:val="auto"/>
              <w:sz w:val="36"/>
              <w:szCs w:val="36"/>
              <w:lang w:val="zh-CN"/>
            </w:rPr>
            <w:t>目  录</w:t>
          </w:r>
        </w:p>
      </w:sdtContent>
    </w:sdt>
    <w:p>
      <w:pPr>
        <w:pStyle w:val="18"/>
        <w:rPr>
          <w:rFonts w:ascii="Times New Roman" w:hAnsi="Times New Roman" w:eastAsiaTheme="minorEastAsia"/>
          <w:b/>
          <w:bCs/>
          <w:caps/>
          <w:smallCaps w:val="0"/>
          <w:sz w:val="28"/>
          <w:szCs w:val="28"/>
        </w:rPr>
      </w:pPr>
    </w:p>
    <w:p>
      <w:pPr>
        <w:pStyle w:val="18"/>
        <w:rPr>
          <w:rFonts w:eastAsia="宋体" w:cstheme="minorBidi"/>
          <w:smallCaps w:val="0"/>
          <w:kern w:val="2"/>
          <w:sz w:val="28"/>
          <w:szCs w:val="22"/>
        </w:rPr>
      </w:pPr>
      <w:r>
        <w:rPr>
          <w:rFonts w:ascii="Times New Roman" w:hAnsi="Times New Roman" w:eastAsiaTheme="minorEastAsia"/>
          <w:b/>
          <w:bCs/>
          <w:caps/>
          <w:smallCaps w:val="0"/>
          <w:sz w:val="28"/>
          <w:szCs w:val="28"/>
        </w:rPr>
        <w:fldChar w:fldCharType="begin"/>
      </w:r>
      <w:r>
        <w:rPr>
          <w:rFonts w:ascii="Times New Roman" w:hAnsi="Times New Roman" w:eastAsiaTheme="minorEastAsia"/>
          <w:sz w:val="28"/>
          <w:szCs w:val="28"/>
        </w:rPr>
        <w:instrText xml:space="preserve"> TOC \o "1-2" \h \z \u </w:instrText>
      </w:r>
      <w:r>
        <w:rPr>
          <w:rFonts w:ascii="Times New Roman" w:hAnsi="Times New Roman" w:eastAsiaTheme="minorEastAsia"/>
          <w:b/>
          <w:bCs/>
          <w:caps/>
          <w:smallCaps w:val="0"/>
          <w:sz w:val="28"/>
          <w:szCs w:val="28"/>
        </w:rPr>
        <w:fldChar w:fldCharType="separate"/>
      </w:r>
      <w:r>
        <w:fldChar w:fldCharType="begin"/>
      </w:r>
      <w:r>
        <w:instrText xml:space="preserve"> HYPERLINK \l "_Toc116398185" </w:instrText>
      </w:r>
      <w:r>
        <w:fldChar w:fldCharType="separate"/>
      </w:r>
      <w:r>
        <w:rPr>
          <w:rStyle w:val="23"/>
          <w:rFonts w:hint="eastAsia" w:ascii="Times New Roman" w:eastAsia="宋体"/>
          <w:sz w:val="28"/>
        </w:rPr>
        <w:t>前</w:t>
      </w:r>
      <w:r>
        <w:rPr>
          <w:rStyle w:val="23"/>
          <w:rFonts w:ascii="Times New Roman" w:eastAsia="宋体"/>
          <w:sz w:val="28"/>
        </w:rPr>
        <w:t xml:space="preserve"> </w:t>
      </w:r>
      <w:r>
        <w:rPr>
          <w:rStyle w:val="23"/>
          <w:rFonts w:hint="eastAsia" w:ascii="Times New Roman" w:eastAsia="宋体"/>
          <w:sz w:val="28"/>
        </w:rPr>
        <w:t>言</w:t>
      </w:r>
      <w:r>
        <w:rPr>
          <w:rFonts w:eastAsia="宋体"/>
          <w:sz w:val="28"/>
        </w:rPr>
        <w:tab/>
      </w:r>
      <w:r>
        <w:rPr>
          <w:rFonts w:eastAsia="宋体"/>
          <w:sz w:val="28"/>
        </w:rPr>
        <w:fldChar w:fldCharType="begin"/>
      </w:r>
      <w:r>
        <w:rPr>
          <w:rFonts w:eastAsia="宋体"/>
          <w:sz w:val="28"/>
        </w:rPr>
        <w:instrText xml:space="preserve"> PAGEREF _Toc116398185 \h </w:instrText>
      </w:r>
      <w:r>
        <w:rPr>
          <w:rFonts w:eastAsia="宋体"/>
          <w:sz w:val="28"/>
        </w:rPr>
        <w:fldChar w:fldCharType="separate"/>
      </w:r>
      <w:r>
        <w:rPr>
          <w:rFonts w:eastAsia="宋体"/>
          <w:sz w:val="28"/>
        </w:rPr>
        <w:t>2</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"_Toc116398186" </w:instrText>
      </w:r>
      <w:r>
        <w:fldChar w:fldCharType="separate"/>
      </w:r>
      <w:r>
        <w:rPr>
          <w:rStyle w:val="23"/>
          <w:rFonts w:eastAsia="宋体"/>
          <w:sz w:val="28"/>
        </w:rPr>
        <w:t>1</w:t>
      </w:r>
      <w:r>
        <w:rPr>
          <w:rStyle w:val="23"/>
          <w:rFonts w:ascii="Times New Roman" w:eastAsia="宋体"/>
          <w:sz w:val="28"/>
        </w:rPr>
        <w:t xml:space="preserve"> </w:t>
      </w:r>
      <w:r>
        <w:rPr>
          <w:rStyle w:val="23"/>
          <w:rFonts w:hint="eastAsia" w:ascii="Times New Roman" w:eastAsia="宋体"/>
          <w:sz w:val="28"/>
        </w:rPr>
        <w:t>范围</w:t>
      </w:r>
      <w:r>
        <w:rPr>
          <w:rFonts w:eastAsia="宋体"/>
          <w:sz w:val="28"/>
        </w:rPr>
        <w:tab/>
      </w:r>
      <w:r>
        <w:rPr>
          <w:rFonts w:eastAsia="宋体"/>
          <w:sz w:val="28"/>
        </w:rPr>
        <w:fldChar w:fldCharType="begin"/>
      </w:r>
      <w:r>
        <w:rPr>
          <w:rFonts w:eastAsia="宋体"/>
          <w:sz w:val="28"/>
        </w:rPr>
        <w:instrText xml:space="preserve"> PAGEREF _Toc116398186 \h </w:instrText>
      </w:r>
      <w:r>
        <w:rPr>
          <w:rFonts w:eastAsia="宋体"/>
          <w:sz w:val="28"/>
        </w:rPr>
        <w:fldChar w:fldCharType="separate"/>
      </w:r>
      <w:r>
        <w:rPr>
          <w:rFonts w:eastAsia="宋体"/>
          <w:sz w:val="28"/>
        </w:rPr>
        <w:t>2</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"_Toc116398187" </w:instrText>
      </w:r>
      <w:r>
        <w:fldChar w:fldCharType="separate"/>
      </w:r>
      <w:r>
        <w:rPr>
          <w:rStyle w:val="23"/>
          <w:rFonts w:eastAsia="宋体"/>
          <w:sz w:val="28"/>
        </w:rPr>
        <w:t>2</w:t>
      </w:r>
      <w:r>
        <w:rPr>
          <w:rStyle w:val="23"/>
          <w:rFonts w:ascii="Times New Roman" w:eastAsia="宋体"/>
          <w:sz w:val="28"/>
        </w:rPr>
        <w:t xml:space="preserve"> </w:t>
      </w:r>
      <w:r>
        <w:rPr>
          <w:rStyle w:val="23"/>
          <w:rFonts w:hint="eastAsia" w:ascii="Times New Roman" w:eastAsia="宋体"/>
          <w:sz w:val="28"/>
        </w:rPr>
        <w:t>规范性引用文件</w:t>
      </w:r>
      <w:r>
        <w:rPr>
          <w:rFonts w:eastAsia="宋体"/>
          <w:sz w:val="28"/>
        </w:rPr>
        <w:tab/>
      </w:r>
      <w:r>
        <w:rPr>
          <w:rFonts w:eastAsia="宋体"/>
          <w:sz w:val="28"/>
        </w:rPr>
        <w:fldChar w:fldCharType="begin"/>
      </w:r>
      <w:r>
        <w:rPr>
          <w:rFonts w:eastAsia="宋体"/>
          <w:sz w:val="28"/>
        </w:rPr>
        <w:instrText xml:space="preserve"> PAGEREF _Toc116398187 \h </w:instrText>
      </w:r>
      <w:r>
        <w:rPr>
          <w:rFonts w:eastAsia="宋体"/>
          <w:sz w:val="28"/>
        </w:rPr>
        <w:fldChar w:fldCharType="separate"/>
      </w:r>
      <w:r>
        <w:rPr>
          <w:rFonts w:eastAsia="宋体"/>
          <w:sz w:val="28"/>
        </w:rPr>
        <w:t>2</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"_Toc116398188" </w:instrText>
      </w:r>
      <w:r>
        <w:fldChar w:fldCharType="separate"/>
      </w:r>
      <w:r>
        <w:rPr>
          <w:rStyle w:val="23"/>
          <w:rFonts w:eastAsia="宋体"/>
          <w:sz w:val="28"/>
        </w:rPr>
        <w:t>3</w:t>
      </w:r>
      <w:r>
        <w:rPr>
          <w:rStyle w:val="23"/>
          <w:rFonts w:ascii="Times New Roman" w:eastAsia="宋体"/>
          <w:sz w:val="28"/>
        </w:rPr>
        <w:t xml:space="preserve"> </w:t>
      </w:r>
      <w:r>
        <w:rPr>
          <w:rStyle w:val="23"/>
          <w:rFonts w:hint="eastAsia" w:ascii="Times New Roman" w:eastAsia="宋体"/>
          <w:sz w:val="28"/>
        </w:rPr>
        <w:t>术语和定义</w:t>
      </w:r>
      <w:r>
        <w:rPr>
          <w:rFonts w:eastAsia="宋体"/>
          <w:sz w:val="28"/>
        </w:rPr>
        <w:tab/>
      </w:r>
      <w:r>
        <w:rPr>
          <w:rFonts w:eastAsia="宋体"/>
          <w:sz w:val="28"/>
        </w:rPr>
        <w:fldChar w:fldCharType="begin"/>
      </w:r>
      <w:r>
        <w:rPr>
          <w:rFonts w:eastAsia="宋体"/>
          <w:sz w:val="28"/>
        </w:rPr>
        <w:instrText xml:space="preserve"> PAGEREF _Toc116398188 \h </w:instrText>
      </w:r>
      <w:r>
        <w:rPr>
          <w:rFonts w:eastAsia="宋体"/>
          <w:sz w:val="28"/>
        </w:rPr>
        <w:fldChar w:fldCharType="separate"/>
      </w:r>
      <w:r>
        <w:rPr>
          <w:rFonts w:eastAsia="宋体"/>
          <w:sz w:val="28"/>
        </w:rPr>
        <w:t>3</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"_Toc116398189" </w:instrText>
      </w:r>
      <w:r>
        <w:fldChar w:fldCharType="separate"/>
      </w:r>
      <w:r>
        <w:rPr>
          <w:rStyle w:val="23"/>
          <w:rFonts w:eastAsia="宋体"/>
          <w:sz w:val="28"/>
        </w:rPr>
        <w:t>4</w:t>
      </w:r>
      <w:r>
        <w:rPr>
          <w:rStyle w:val="23"/>
          <w:rFonts w:ascii="Times New Roman" w:eastAsia="宋体"/>
          <w:sz w:val="28"/>
        </w:rPr>
        <w:t xml:space="preserve"> </w:t>
      </w:r>
      <w:r>
        <w:rPr>
          <w:rStyle w:val="23"/>
          <w:rFonts w:hint="eastAsia" w:ascii="Times New Roman" w:eastAsia="宋体"/>
          <w:sz w:val="28"/>
        </w:rPr>
        <w:t>工艺流程</w:t>
      </w:r>
      <w:r>
        <w:rPr>
          <w:rFonts w:eastAsia="宋体"/>
          <w:sz w:val="28"/>
        </w:rPr>
        <w:tab/>
      </w:r>
      <w:r>
        <w:rPr>
          <w:rFonts w:eastAsia="宋体"/>
          <w:sz w:val="28"/>
        </w:rPr>
        <w:fldChar w:fldCharType="begin"/>
      </w:r>
      <w:r>
        <w:rPr>
          <w:rFonts w:eastAsia="宋体"/>
          <w:sz w:val="28"/>
        </w:rPr>
        <w:instrText xml:space="preserve"> PAGEREF _Toc116398189 \h </w:instrText>
      </w:r>
      <w:r>
        <w:rPr>
          <w:rFonts w:eastAsia="宋体"/>
          <w:sz w:val="28"/>
        </w:rPr>
        <w:fldChar w:fldCharType="separate"/>
      </w:r>
      <w:r>
        <w:rPr>
          <w:rFonts w:eastAsia="宋体"/>
          <w:sz w:val="28"/>
        </w:rPr>
        <w:t>4</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"_Toc116398190" </w:instrText>
      </w:r>
      <w:r>
        <w:fldChar w:fldCharType="separate"/>
      </w:r>
      <w:r>
        <w:rPr>
          <w:rStyle w:val="23"/>
          <w:rFonts w:eastAsia="宋体"/>
          <w:sz w:val="28"/>
        </w:rPr>
        <w:t>5</w:t>
      </w:r>
      <w:r>
        <w:rPr>
          <w:rStyle w:val="23"/>
          <w:rFonts w:ascii="Times New Roman" w:eastAsia="宋体"/>
          <w:sz w:val="28"/>
        </w:rPr>
        <w:t xml:space="preserve"> </w:t>
      </w:r>
      <w:r>
        <w:rPr>
          <w:rStyle w:val="23"/>
          <w:rFonts w:hint="eastAsia" w:ascii="Times New Roman" w:eastAsia="宋体"/>
          <w:sz w:val="28"/>
        </w:rPr>
        <w:t>建设要求</w:t>
      </w:r>
      <w:r>
        <w:rPr>
          <w:rFonts w:eastAsia="宋体"/>
          <w:sz w:val="28"/>
        </w:rPr>
        <w:tab/>
      </w:r>
      <w:r>
        <w:rPr>
          <w:rFonts w:eastAsia="宋体"/>
          <w:sz w:val="28"/>
        </w:rPr>
        <w:fldChar w:fldCharType="begin"/>
      </w:r>
      <w:r>
        <w:rPr>
          <w:rFonts w:eastAsia="宋体"/>
          <w:sz w:val="28"/>
        </w:rPr>
        <w:instrText xml:space="preserve"> PAGEREF _Toc116398190 \h </w:instrText>
      </w:r>
      <w:r>
        <w:rPr>
          <w:rFonts w:eastAsia="宋体"/>
          <w:sz w:val="28"/>
        </w:rPr>
        <w:fldChar w:fldCharType="separate"/>
      </w:r>
      <w:r>
        <w:rPr>
          <w:rFonts w:eastAsia="宋体"/>
          <w:sz w:val="28"/>
        </w:rPr>
        <w:t>4</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"_Toc116398191" </w:instrText>
      </w:r>
      <w:r>
        <w:fldChar w:fldCharType="separate"/>
      </w:r>
      <w:r>
        <w:rPr>
          <w:rStyle w:val="23"/>
          <w:rFonts w:eastAsia="宋体"/>
          <w:sz w:val="28"/>
        </w:rPr>
        <w:t>6</w:t>
      </w:r>
      <w:r>
        <w:rPr>
          <w:rStyle w:val="23"/>
          <w:rFonts w:ascii="Times New Roman" w:eastAsia="宋体"/>
          <w:sz w:val="28"/>
        </w:rPr>
        <w:t xml:space="preserve"> </w:t>
      </w:r>
      <w:r>
        <w:rPr>
          <w:rStyle w:val="23"/>
          <w:rFonts w:hint="eastAsia" w:ascii="Times New Roman" w:eastAsia="宋体"/>
          <w:sz w:val="28"/>
        </w:rPr>
        <w:t>成套设备配置及投资估算</w:t>
      </w:r>
      <w:r>
        <w:rPr>
          <w:rFonts w:eastAsia="宋体"/>
          <w:sz w:val="28"/>
        </w:rPr>
        <w:tab/>
      </w:r>
      <w:r>
        <w:rPr>
          <w:rFonts w:eastAsia="宋体"/>
          <w:sz w:val="28"/>
        </w:rPr>
        <w:fldChar w:fldCharType="begin"/>
      </w:r>
      <w:r>
        <w:rPr>
          <w:rFonts w:eastAsia="宋体"/>
          <w:sz w:val="28"/>
        </w:rPr>
        <w:instrText xml:space="preserve"> PAGEREF _Toc116398191 \h </w:instrText>
      </w:r>
      <w:r>
        <w:rPr>
          <w:rFonts w:eastAsia="宋体"/>
          <w:sz w:val="28"/>
        </w:rPr>
        <w:fldChar w:fldCharType="separate"/>
      </w:r>
      <w:r>
        <w:rPr>
          <w:rFonts w:eastAsia="宋体"/>
          <w:sz w:val="28"/>
        </w:rPr>
        <w:t>7</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"_Toc116398192" </w:instrText>
      </w:r>
      <w:r>
        <w:fldChar w:fldCharType="separate"/>
      </w:r>
      <w:r>
        <w:rPr>
          <w:rStyle w:val="23"/>
          <w:rFonts w:eastAsia="宋体"/>
          <w:sz w:val="28"/>
        </w:rPr>
        <w:t>7</w:t>
      </w:r>
      <w:r>
        <w:rPr>
          <w:rStyle w:val="23"/>
          <w:rFonts w:ascii="Times New Roman" w:eastAsia="宋体"/>
          <w:sz w:val="28"/>
        </w:rPr>
        <w:t xml:space="preserve"> </w:t>
      </w:r>
      <w:r>
        <w:rPr>
          <w:rStyle w:val="23"/>
          <w:rFonts w:hint="eastAsia" w:ascii="Times New Roman" w:eastAsia="宋体"/>
          <w:sz w:val="28"/>
        </w:rPr>
        <w:t>安全与环保</w:t>
      </w:r>
      <w:r>
        <w:rPr>
          <w:rFonts w:eastAsia="宋体"/>
          <w:sz w:val="28"/>
        </w:rPr>
        <w:tab/>
      </w:r>
      <w:r>
        <w:rPr>
          <w:rFonts w:eastAsia="宋体"/>
          <w:sz w:val="28"/>
        </w:rPr>
        <w:fldChar w:fldCharType="begin"/>
      </w:r>
      <w:r>
        <w:rPr>
          <w:rFonts w:eastAsia="宋体"/>
          <w:sz w:val="28"/>
        </w:rPr>
        <w:instrText xml:space="preserve"> PAGEREF _Toc116398192 \h </w:instrText>
      </w:r>
      <w:r>
        <w:rPr>
          <w:rFonts w:eastAsia="宋体"/>
          <w:sz w:val="28"/>
        </w:rPr>
        <w:fldChar w:fldCharType="separate"/>
      </w:r>
      <w:r>
        <w:rPr>
          <w:rFonts w:eastAsia="宋体"/>
          <w:sz w:val="28"/>
        </w:rPr>
        <w:t>20</w:t>
      </w:r>
      <w:r>
        <w:rPr>
          <w:rFonts w:eastAsia="宋体"/>
          <w:sz w:val="28"/>
        </w:rPr>
        <w:fldChar w:fldCharType="end"/>
      </w:r>
      <w:r>
        <w:rPr>
          <w:rFonts w:eastAsia="宋体"/>
          <w:sz w:val="28"/>
        </w:rPr>
        <w:fldChar w:fldCharType="end"/>
      </w:r>
    </w:p>
    <w:p>
      <w:pPr>
        <w:pStyle w:val="18"/>
        <w:rPr>
          <w:rFonts w:eastAsia="宋体" w:cstheme="minorBidi"/>
          <w:smallCaps w:val="0"/>
          <w:kern w:val="2"/>
          <w:sz w:val="28"/>
          <w:szCs w:val="22"/>
        </w:rPr>
      </w:pPr>
      <w:r>
        <w:fldChar w:fldCharType="begin"/>
      </w:r>
      <w:r>
        <w:instrText xml:space="preserve"> HYPERLINK \l "_Toc116398193" </w:instrText>
      </w:r>
      <w:r>
        <w:fldChar w:fldCharType="separate"/>
      </w:r>
      <w:r>
        <w:rPr>
          <w:rStyle w:val="23"/>
          <w:rFonts w:eastAsia="宋体"/>
          <w:sz w:val="28"/>
        </w:rPr>
        <w:t>8</w:t>
      </w:r>
      <w:r>
        <w:rPr>
          <w:rStyle w:val="23"/>
          <w:rFonts w:ascii="Times New Roman" w:eastAsia="宋体"/>
          <w:sz w:val="28"/>
        </w:rPr>
        <w:t xml:space="preserve"> </w:t>
      </w:r>
      <w:r>
        <w:rPr>
          <w:rStyle w:val="23"/>
          <w:rFonts w:hint="eastAsia" w:ascii="Times New Roman" w:eastAsia="宋体"/>
          <w:sz w:val="28"/>
        </w:rPr>
        <w:t>安装与调试</w:t>
      </w:r>
      <w:r>
        <w:rPr>
          <w:rFonts w:eastAsia="宋体"/>
          <w:sz w:val="28"/>
        </w:rPr>
        <w:tab/>
      </w:r>
      <w:r>
        <w:rPr>
          <w:rFonts w:eastAsia="宋体"/>
          <w:sz w:val="28"/>
        </w:rPr>
        <w:fldChar w:fldCharType="begin"/>
      </w:r>
      <w:r>
        <w:rPr>
          <w:rFonts w:eastAsia="宋体"/>
          <w:sz w:val="28"/>
        </w:rPr>
        <w:instrText xml:space="preserve"> PAGEREF _Toc116398193 \h </w:instrText>
      </w:r>
      <w:r>
        <w:rPr>
          <w:rFonts w:eastAsia="宋体"/>
          <w:sz w:val="28"/>
        </w:rPr>
        <w:fldChar w:fldCharType="separate"/>
      </w:r>
      <w:r>
        <w:rPr>
          <w:rFonts w:eastAsia="宋体"/>
          <w:sz w:val="28"/>
        </w:rPr>
        <w:t>21</w:t>
      </w:r>
      <w:r>
        <w:rPr>
          <w:rFonts w:eastAsia="宋体"/>
          <w:sz w:val="28"/>
        </w:rPr>
        <w:fldChar w:fldCharType="end"/>
      </w:r>
      <w:r>
        <w:rPr>
          <w:rFonts w:eastAsia="宋体"/>
          <w:sz w:val="28"/>
        </w:rPr>
        <w:fldChar w:fldCharType="end"/>
      </w:r>
    </w:p>
    <w:p>
      <w:pPr>
        <w:pStyle w:val="18"/>
        <w:rPr>
          <w:rFonts w:eastAsiaTheme="minorEastAsia" w:cstheme="minorBidi"/>
          <w:smallCaps w:val="0"/>
          <w:kern w:val="2"/>
          <w:sz w:val="21"/>
          <w:szCs w:val="22"/>
        </w:rPr>
      </w:pPr>
      <w:r>
        <w:fldChar w:fldCharType="begin"/>
      </w:r>
      <w:r>
        <w:instrText xml:space="preserve"> HYPERLINK \l "_Toc116398194" </w:instrText>
      </w:r>
      <w:r>
        <w:fldChar w:fldCharType="separate"/>
      </w:r>
      <w:r>
        <w:rPr>
          <w:rStyle w:val="23"/>
          <w:rFonts w:eastAsia="宋体"/>
          <w:sz w:val="28"/>
        </w:rPr>
        <w:t>9</w:t>
      </w:r>
      <w:r>
        <w:rPr>
          <w:rStyle w:val="23"/>
          <w:rFonts w:ascii="Times New Roman" w:eastAsia="宋体"/>
          <w:sz w:val="28"/>
        </w:rPr>
        <w:t xml:space="preserve"> </w:t>
      </w:r>
      <w:r>
        <w:rPr>
          <w:rStyle w:val="23"/>
          <w:rFonts w:hint="eastAsia" w:ascii="Times New Roman" w:eastAsia="宋体"/>
          <w:sz w:val="28"/>
        </w:rPr>
        <w:t>验收</w:t>
      </w:r>
      <w:r>
        <w:rPr>
          <w:rFonts w:eastAsia="宋体"/>
          <w:sz w:val="28"/>
        </w:rPr>
        <w:tab/>
      </w:r>
      <w:r>
        <w:rPr>
          <w:rFonts w:eastAsia="宋体"/>
          <w:sz w:val="28"/>
        </w:rPr>
        <w:fldChar w:fldCharType="begin"/>
      </w:r>
      <w:r>
        <w:rPr>
          <w:rFonts w:eastAsia="宋体"/>
          <w:sz w:val="28"/>
        </w:rPr>
        <w:instrText xml:space="preserve"> PAGEREF _Toc116398194 \h </w:instrText>
      </w:r>
      <w:r>
        <w:rPr>
          <w:rFonts w:eastAsia="宋体"/>
          <w:sz w:val="28"/>
        </w:rPr>
        <w:fldChar w:fldCharType="separate"/>
      </w:r>
      <w:r>
        <w:rPr>
          <w:rFonts w:eastAsia="宋体"/>
          <w:sz w:val="28"/>
        </w:rPr>
        <w:t>22</w:t>
      </w:r>
      <w:r>
        <w:rPr>
          <w:rFonts w:eastAsia="宋体"/>
          <w:sz w:val="28"/>
        </w:rPr>
        <w:fldChar w:fldCharType="end"/>
      </w:r>
      <w:r>
        <w:rPr>
          <w:rFonts w:eastAsia="宋体"/>
          <w:sz w:val="28"/>
        </w:rPr>
        <w:fldChar w:fldCharType="end"/>
      </w:r>
    </w:p>
    <w:p>
      <w:pPr>
        <w:pStyle w:val="27"/>
        <w:ind w:left="420" w:leftChars="200" w:firstLine="0" w:firstLineChars="0"/>
        <w:rPr>
          <w:rFonts w:ascii="Times New Roman" w:hAnsi="Times New Roman" w:eastAsiaTheme="minorEastAsia"/>
          <w:smallCaps/>
          <w:sz w:val="28"/>
          <w:szCs w:val="28"/>
        </w:rPr>
      </w:pPr>
      <w:r>
        <w:rPr>
          <w:rFonts w:ascii="Times New Roman" w:hAnsi="Times New Roman" w:eastAsiaTheme="minorEastAsia"/>
          <w:smallCaps/>
          <w:sz w:val="28"/>
          <w:szCs w:val="28"/>
        </w:rPr>
        <w:fldChar w:fldCharType="end"/>
      </w:r>
      <w:r>
        <w:rPr>
          <w:rFonts w:ascii="Times New Roman" w:hAnsi="Times New Roman" w:eastAsiaTheme="minorEastAsia"/>
          <w:smallCaps/>
          <w:sz w:val="28"/>
          <w:szCs w:val="28"/>
        </w:rPr>
        <w:t>附表</w:t>
      </w:r>
    </w:p>
    <w:p>
      <w:pPr>
        <w:pStyle w:val="27"/>
        <w:ind w:left="420" w:leftChars="200" w:firstLine="0" w:firstLineChars="0"/>
        <w:rPr>
          <w:rFonts w:ascii="Times New Roman" w:hAnsi="Times New Roman" w:eastAsiaTheme="minorEastAsia"/>
          <w:sz w:val="28"/>
          <w:szCs w:val="28"/>
        </w:rPr>
      </w:pPr>
      <w:r>
        <w:rPr>
          <w:rFonts w:ascii="Times New Roman" w:hAnsi="Times New Roman" w:eastAsiaTheme="minorEastAsia"/>
          <w:smallCaps/>
          <w:sz w:val="28"/>
          <w:szCs w:val="28"/>
        </w:rPr>
        <w:t>附图</w:t>
      </w:r>
    </w:p>
    <w:p>
      <w:pPr>
        <w:pStyle w:val="27"/>
        <w:rPr>
          <w:rFonts w:ascii="Times New Roman" w:hAnsi="Times New Roman"/>
        </w:rPr>
      </w:pPr>
    </w:p>
    <w:p>
      <w:pPr>
        <w:pStyle w:val="27"/>
        <w:rPr>
          <w:rFonts w:ascii="Times New Roman" w:hAnsi="Times New Roman"/>
        </w:rPr>
      </w:pPr>
    </w:p>
    <w:p>
      <w:pPr>
        <w:pStyle w:val="27"/>
        <w:rPr>
          <w:rFonts w:ascii="Times New Roman" w:hAnsi="Times New Roman"/>
        </w:rPr>
      </w:pPr>
    </w:p>
    <w:p>
      <w:pPr>
        <w:pStyle w:val="27"/>
        <w:rPr>
          <w:rFonts w:ascii="Times New Roman" w:hAnsi="Times New Roman"/>
        </w:rPr>
      </w:pPr>
      <w:r>
        <w:rPr>
          <w:rFonts w:ascii="Times New Roman" w:hAnsi="Times New Roman"/>
        </w:rPr>
        <w:br w:type="page"/>
      </w:r>
    </w:p>
    <w:p>
      <w:pPr>
        <w:pStyle w:val="27"/>
        <w:ind w:firstLine="0" w:firstLineChars="0"/>
        <w:jc w:val="center"/>
        <w:rPr>
          <w:rFonts w:ascii="Times New Roman" w:hAnsi="Times New Roman" w:eastAsiaTheme="minorEastAsia"/>
          <w:b/>
          <w:sz w:val="32"/>
          <w:szCs w:val="32"/>
        </w:rPr>
      </w:pPr>
      <w:bookmarkStart w:id="6" w:name="_Toc109669805"/>
      <w:r>
        <w:rPr>
          <w:rFonts w:hint="eastAsia" w:ascii="Times New Roman" w:hAnsi="Times New Roman" w:eastAsiaTheme="minorEastAsia"/>
          <w:b/>
          <w:sz w:val="32"/>
          <w:szCs w:val="32"/>
        </w:rPr>
        <w:t>稻谷</w:t>
      </w:r>
      <w:r>
        <w:rPr>
          <w:rFonts w:ascii="Times New Roman" w:hAnsi="Times New Roman" w:eastAsiaTheme="minorEastAsia"/>
          <w:b/>
          <w:sz w:val="32"/>
          <w:szCs w:val="32"/>
        </w:rPr>
        <w:t>烘干中心建设技术规范</w:t>
      </w:r>
      <w:bookmarkEnd w:id="6"/>
    </w:p>
    <w:p>
      <w:pPr>
        <w:pStyle w:val="29"/>
        <w:spacing w:before="156" w:beforeLines="50" w:after="156" w:afterLines="50" w:line="480" w:lineRule="auto"/>
        <w:rPr>
          <w:rFonts w:ascii="Times New Roman"/>
        </w:rPr>
      </w:pPr>
      <w:bookmarkStart w:id="7" w:name="_Toc116398185"/>
      <w:r>
        <w:rPr>
          <w:rFonts w:ascii="Times New Roman"/>
        </w:rPr>
        <w:t>前 言</w:t>
      </w:r>
      <w:bookmarkEnd w:id="7"/>
    </w:p>
    <w:p>
      <w:pPr>
        <w:pStyle w:val="27"/>
        <w:rPr>
          <w:rFonts w:ascii="Times New Roman" w:hAnsi="Times New Roman"/>
          <w:szCs w:val="20"/>
        </w:rPr>
      </w:pPr>
      <w:r>
        <w:rPr>
          <w:rFonts w:hint="eastAsia" w:ascii="Times New Roman" w:hAnsi="Times New Roman"/>
          <w:szCs w:val="20"/>
        </w:rPr>
        <w:t>按照“绿色环保、安全高效、经济适用”的总体要求，为江西省稻谷烘干中心成套装备补贴政策制定提供技术支撑，加快提升江西稻谷产后烘干机械化水平、助力粮食减损保质增收，特制定本规范。</w:t>
      </w:r>
    </w:p>
    <w:p>
      <w:pPr>
        <w:pStyle w:val="29"/>
        <w:numPr>
          <w:ilvl w:val="0"/>
          <w:numId w:val="3"/>
        </w:numPr>
        <w:spacing w:before="156" w:beforeLines="50" w:after="156" w:afterLines="50" w:line="480" w:lineRule="auto"/>
        <w:ind w:left="0"/>
        <w:rPr>
          <w:rFonts w:ascii="Times New Roman"/>
        </w:rPr>
      </w:pPr>
      <w:bookmarkStart w:id="8" w:name="_Toc116398186"/>
      <w:r>
        <w:rPr>
          <w:rFonts w:ascii="Times New Roman"/>
        </w:rPr>
        <w:t>范围</w:t>
      </w:r>
      <w:bookmarkEnd w:id="8"/>
    </w:p>
    <w:p>
      <w:pPr>
        <w:pStyle w:val="27"/>
        <w:rPr>
          <w:rFonts w:ascii="Times New Roman" w:hAnsi="Times New Roman"/>
          <w:szCs w:val="20"/>
        </w:rPr>
      </w:pPr>
      <w:r>
        <w:rPr>
          <w:rFonts w:ascii="Times New Roman" w:hAnsi="Times New Roman"/>
          <w:szCs w:val="20"/>
        </w:rPr>
        <w:t>本规范规定了稻谷烘干中心的术语和定义、工艺流程、建设要求、成套设备配置及投资估算、安全与环保、安装与调试和使用验收等的基本要求。</w:t>
      </w:r>
    </w:p>
    <w:p>
      <w:pPr>
        <w:pStyle w:val="27"/>
        <w:rPr>
          <w:rFonts w:ascii="Times New Roman" w:hAnsi="Times New Roman"/>
          <w:szCs w:val="20"/>
        </w:rPr>
      </w:pPr>
      <w:r>
        <w:rPr>
          <w:rFonts w:ascii="Times New Roman" w:hAnsi="Times New Roman"/>
          <w:szCs w:val="20"/>
        </w:rPr>
        <w:t>本规范适用于家庭农场、农民合作社、稻谷加工企业等新型农业生产经营主体所使用的稻谷烘干中心建设和验收，改（扩）建可参照执行。</w:t>
      </w:r>
    </w:p>
    <w:p>
      <w:pPr>
        <w:pStyle w:val="29"/>
        <w:numPr>
          <w:ilvl w:val="0"/>
          <w:numId w:val="3"/>
        </w:numPr>
        <w:spacing w:before="156" w:beforeLines="50" w:after="156" w:afterLines="50" w:line="480" w:lineRule="auto"/>
        <w:ind w:left="0"/>
        <w:rPr>
          <w:rFonts w:ascii="Times New Roman"/>
        </w:rPr>
      </w:pPr>
      <w:bookmarkStart w:id="9" w:name="_Toc116398187"/>
      <w:r>
        <w:rPr>
          <w:rFonts w:ascii="Times New Roman"/>
        </w:rPr>
        <w:t>规范性引用文件</w:t>
      </w:r>
      <w:bookmarkEnd w:id="9"/>
    </w:p>
    <w:p>
      <w:pPr>
        <w:pStyle w:val="27"/>
        <w:tabs>
          <w:tab w:val="clear" w:pos="4201"/>
        </w:tabs>
        <w:rPr>
          <w:rFonts w:ascii="Times New Roman" w:hAnsi="Times New Roman"/>
          <w:szCs w:val="20"/>
        </w:rPr>
      </w:pPr>
      <w:r>
        <w:rPr>
          <w:rFonts w:ascii="Times New Roman" w:hAnsi="Times New Roman"/>
          <w:szCs w:val="20"/>
        </w:rPr>
        <w:t>下列文件对于本文件的应用是必不可少的。凡是注日期的引用文件，仅所注日期的版本适用于本文件。凡是不注日期的引用文件，其最新版本（包括所有的修改单）适用于本文件。</w:t>
      </w:r>
    </w:p>
    <w:p>
      <w:pPr>
        <w:pStyle w:val="27"/>
        <w:rPr>
          <w:rFonts w:ascii="Times New Roman" w:hAnsi="Times New Roman"/>
          <w:szCs w:val="20"/>
        </w:rPr>
      </w:pPr>
      <w:r>
        <w:rPr>
          <w:rFonts w:ascii="Times New Roman" w:hAnsi="Times New Roman"/>
          <w:szCs w:val="20"/>
        </w:rPr>
        <w:t>GB 1350 稻谷</w:t>
      </w:r>
    </w:p>
    <w:p>
      <w:pPr>
        <w:pStyle w:val="27"/>
        <w:rPr>
          <w:rFonts w:ascii="Times New Roman" w:hAnsi="Times New Roman"/>
          <w:szCs w:val="20"/>
        </w:rPr>
      </w:pPr>
      <w:r>
        <w:rPr>
          <w:rFonts w:ascii="Times New Roman" w:hAnsi="Times New Roman"/>
          <w:szCs w:val="20"/>
        </w:rPr>
        <w:t>GB 4053.1 固定式钢梯及平台安全要求 第1部分:钢直梯</w:t>
      </w:r>
    </w:p>
    <w:p>
      <w:pPr>
        <w:pStyle w:val="27"/>
        <w:rPr>
          <w:rFonts w:ascii="Times New Roman" w:hAnsi="Times New Roman"/>
          <w:szCs w:val="20"/>
        </w:rPr>
      </w:pPr>
      <w:r>
        <w:rPr>
          <w:rFonts w:ascii="Times New Roman" w:hAnsi="Times New Roman"/>
          <w:szCs w:val="20"/>
        </w:rPr>
        <w:t>GB 4053.3 固定式钢梯及平台安全要求 第3部分:工业防护栏杆及钢平台</w:t>
      </w:r>
    </w:p>
    <w:p>
      <w:pPr>
        <w:pStyle w:val="27"/>
        <w:rPr>
          <w:rFonts w:ascii="Times New Roman" w:hAnsi="Times New Roman"/>
          <w:szCs w:val="20"/>
        </w:rPr>
      </w:pPr>
      <w:r>
        <w:rPr>
          <w:rFonts w:ascii="Times New Roman" w:hAnsi="Times New Roman"/>
          <w:szCs w:val="20"/>
        </w:rPr>
        <w:t>GB 10395.1 农林机械安全第1部分：总则</w:t>
      </w:r>
    </w:p>
    <w:p>
      <w:pPr>
        <w:pStyle w:val="27"/>
        <w:rPr>
          <w:rFonts w:ascii="Times New Roman" w:hAnsi="Times New Roman"/>
          <w:szCs w:val="20"/>
        </w:rPr>
      </w:pPr>
      <w:r>
        <w:rPr>
          <w:rFonts w:ascii="Times New Roman" w:hAnsi="Times New Roman"/>
          <w:szCs w:val="20"/>
        </w:rPr>
        <w:t>GB 10396 农林拖拉机和机械、草坪和园艺动力机械安全标志和危险图形总则</w:t>
      </w:r>
    </w:p>
    <w:p>
      <w:pPr>
        <w:pStyle w:val="27"/>
        <w:rPr>
          <w:rFonts w:ascii="Times New Roman" w:hAnsi="Times New Roman"/>
          <w:szCs w:val="20"/>
        </w:rPr>
      </w:pPr>
      <w:r>
        <w:rPr>
          <w:rFonts w:ascii="Times New Roman" w:hAnsi="Times New Roman"/>
          <w:szCs w:val="20"/>
        </w:rPr>
        <w:t>GB 12348 工业企业厂界环境噪声排放标准</w:t>
      </w:r>
    </w:p>
    <w:p>
      <w:pPr>
        <w:pStyle w:val="27"/>
        <w:rPr>
          <w:rFonts w:ascii="Times New Roman" w:hAnsi="Times New Roman"/>
          <w:szCs w:val="20"/>
        </w:rPr>
      </w:pPr>
      <w:r>
        <w:rPr>
          <w:rFonts w:ascii="Times New Roman" w:hAnsi="Times New Roman"/>
          <w:szCs w:val="20"/>
        </w:rPr>
        <w:t>GB 13271 锅炉大气污染物排放标准</w:t>
      </w:r>
    </w:p>
    <w:p>
      <w:pPr>
        <w:pStyle w:val="27"/>
        <w:rPr>
          <w:rFonts w:ascii="Times New Roman" w:hAnsi="Times New Roman"/>
          <w:szCs w:val="20"/>
        </w:rPr>
      </w:pPr>
      <w:r>
        <w:rPr>
          <w:rFonts w:ascii="Times New Roman" w:hAnsi="Times New Roman"/>
          <w:szCs w:val="20"/>
        </w:rPr>
        <w:t>GB 13495.1 消防安全标志 第1部分：标志</w:t>
      </w:r>
    </w:p>
    <w:p>
      <w:pPr>
        <w:pStyle w:val="27"/>
        <w:rPr>
          <w:rFonts w:ascii="Times New Roman" w:hAnsi="Times New Roman"/>
          <w:szCs w:val="20"/>
        </w:rPr>
      </w:pPr>
      <w:r>
        <w:rPr>
          <w:rFonts w:ascii="Times New Roman" w:hAnsi="Times New Roman"/>
          <w:szCs w:val="20"/>
        </w:rPr>
        <w:t>GB 15577 粉尘防爆安全规程</w:t>
      </w:r>
    </w:p>
    <w:p>
      <w:pPr>
        <w:pStyle w:val="27"/>
        <w:rPr>
          <w:rFonts w:ascii="Times New Roman" w:hAnsi="Times New Roman"/>
          <w:szCs w:val="20"/>
        </w:rPr>
      </w:pPr>
      <w:r>
        <w:rPr>
          <w:rFonts w:ascii="Times New Roman" w:hAnsi="Times New Roman"/>
          <w:szCs w:val="20"/>
        </w:rPr>
        <w:t>GB 14784 带式输送机 安全规范</w:t>
      </w:r>
    </w:p>
    <w:p>
      <w:pPr>
        <w:pStyle w:val="27"/>
        <w:rPr>
          <w:rFonts w:ascii="Times New Roman" w:hAnsi="Times New Roman"/>
          <w:szCs w:val="20"/>
        </w:rPr>
      </w:pPr>
      <w:r>
        <w:rPr>
          <w:rFonts w:ascii="Times New Roman" w:hAnsi="Times New Roman"/>
          <w:szCs w:val="20"/>
        </w:rPr>
        <w:t>GB 15630 消防安全标志设置要求</w:t>
      </w:r>
    </w:p>
    <w:p>
      <w:pPr>
        <w:pStyle w:val="27"/>
        <w:rPr>
          <w:rFonts w:ascii="Times New Roman" w:hAnsi="Times New Roman"/>
          <w:szCs w:val="20"/>
        </w:rPr>
      </w:pPr>
      <w:r>
        <w:rPr>
          <w:rFonts w:ascii="Times New Roman" w:hAnsi="Times New Roman"/>
          <w:szCs w:val="20"/>
        </w:rPr>
        <w:t>GB 17440 粮食加工、储运系统粉尘防爆安全规程</w:t>
      </w:r>
    </w:p>
    <w:p>
      <w:pPr>
        <w:pStyle w:val="27"/>
        <w:rPr>
          <w:rFonts w:ascii="Times New Roman" w:hAnsi="Times New Roman"/>
          <w:szCs w:val="20"/>
        </w:rPr>
      </w:pPr>
      <w:r>
        <w:rPr>
          <w:rFonts w:ascii="Times New Roman" w:hAnsi="Times New Roman"/>
          <w:szCs w:val="20"/>
        </w:rPr>
        <w:t>GB 19517 国家电气设备安全技术规范</w:t>
      </w:r>
    </w:p>
    <w:p>
      <w:pPr>
        <w:pStyle w:val="27"/>
        <w:rPr>
          <w:rFonts w:ascii="Times New Roman" w:hAnsi="Times New Roman"/>
          <w:szCs w:val="20"/>
        </w:rPr>
      </w:pPr>
      <w:r>
        <w:rPr>
          <w:rFonts w:ascii="Times New Roman" w:hAnsi="Times New Roman"/>
          <w:szCs w:val="20"/>
        </w:rPr>
        <w:t>GB 40159 埋刮板输送机 安全规范</w:t>
      </w:r>
    </w:p>
    <w:p>
      <w:pPr>
        <w:pStyle w:val="27"/>
        <w:rPr>
          <w:rFonts w:ascii="Times New Roman" w:hAnsi="Times New Roman"/>
          <w:szCs w:val="20"/>
        </w:rPr>
      </w:pPr>
      <w:r>
        <w:rPr>
          <w:rFonts w:ascii="Times New Roman" w:hAnsi="Times New Roman"/>
          <w:szCs w:val="20"/>
        </w:rPr>
        <w:t>GB 50016 建筑设计防火规范</w:t>
      </w:r>
    </w:p>
    <w:p>
      <w:pPr>
        <w:pStyle w:val="27"/>
        <w:rPr>
          <w:rFonts w:ascii="Times New Roman" w:hAnsi="Times New Roman"/>
          <w:szCs w:val="20"/>
        </w:rPr>
      </w:pPr>
      <w:r>
        <w:rPr>
          <w:rFonts w:ascii="Times New Roman" w:hAnsi="Times New Roman"/>
          <w:szCs w:val="20"/>
        </w:rPr>
        <w:t>GB 50037 建筑物防雷设计规范</w:t>
      </w:r>
    </w:p>
    <w:p>
      <w:pPr>
        <w:pStyle w:val="27"/>
        <w:rPr>
          <w:rFonts w:ascii="Times New Roman" w:hAnsi="Times New Roman"/>
          <w:szCs w:val="20"/>
        </w:rPr>
      </w:pPr>
      <w:r>
        <w:rPr>
          <w:rFonts w:ascii="Times New Roman" w:hAnsi="Times New Roman"/>
          <w:szCs w:val="20"/>
        </w:rPr>
        <w:t>GB 50140 建筑灭火器配置设计规范</w:t>
      </w:r>
    </w:p>
    <w:p>
      <w:pPr>
        <w:pStyle w:val="27"/>
        <w:rPr>
          <w:rFonts w:ascii="Times New Roman" w:hAnsi="Times New Roman"/>
          <w:szCs w:val="20"/>
        </w:rPr>
      </w:pPr>
      <w:r>
        <w:rPr>
          <w:rFonts w:ascii="Times New Roman" w:hAnsi="Times New Roman"/>
          <w:szCs w:val="20"/>
        </w:rPr>
        <w:t>GB 50205 钢结构工程施工质量验收标准</w:t>
      </w:r>
    </w:p>
    <w:p>
      <w:pPr>
        <w:pStyle w:val="27"/>
        <w:rPr>
          <w:rFonts w:ascii="Times New Roman" w:hAnsi="Times New Roman"/>
          <w:szCs w:val="20"/>
        </w:rPr>
      </w:pPr>
      <w:r>
        <w:rPr>
          <w:rFonts w:ascii="Times New Roman" w:hAnsi="Times New Roman"/>
          <w:szCs w:val="20"/>
        </w:rPr>
        <w:t>GB 50322 粮食钢板筒仓设计规范</w:t>
      </w:r>
    </w:p>
    <w:p>
      <w:pPr>
        <w:pStyle w:val="27"/>
        <w:rPr>
          <w:rFonts w:ascii="Times New Roman" w:hAnsi="Times New Roman"/>
          <w:szCs w:val="20"/>
        </w:rPr>
      </w:pPr>
      <w:r>
        <w:rPr>
          <w:rFonts w:ascii="Times New Roman" w:hAnsi="Times New Roman"/>
          <w:szCs w:val="20"/>
        </w:rPr>
        <w:t>GB/T 2893.5 图形符号安全色和安全标志第５部分：安全标志使用原则与要求</w:t>
      </w:r>
    </w:p>
    <w:p>
      <w:pPr>
        <w:pStyle w:val="27"/>
        <w:rPr>
          <w:rFonts w:ascii="Times New Roman" w:hAnsi="Times New Roman"/>
          <w:szCs w:val="20"/>
        </w:rPr>
      </w:pPr>
      <w:r>
        <w:rPr>
          <w:rFonts w:ascii="Times New Roman" w:hAnsi="Times New Roman"/>
          <w:szCs w:val="20"/>
        </w:rPr>
        <w:t>GB/T 7723 固定式电子衡器</w:t>
      </w:r>
    </w:p>
    <w:p>
      <w:pPr>
        <w:pStyle w:val="27"/>
        <w:rPr>
          <w:rFonts w:ascii="Times New Roman" w:hAnsi="Times New Roman"/>
          <w:szCs w:val="20"/>
        </w:rPr>
      </w:pPr>
      <w:r>
        <w:rPr>
          <w:rFonts w:ascii="Times New Roman" w:hAnsi="Times New Roman"/>
          <w:szCs w:val="20"/>
        </w:rPr>
        <w:t>GB/T 9969 工业产品使用说明书总则</w:t>
      </w:r>
    </w:p>
    <w:p>
      <w:pPr>
        <w:pStyle w:val="27"/>
        <w:rPr>
          <w:rFonts w:ascii="Times New Roman" w:hAnsi="Times New Roman"/>
          <w:szCs w:val="20"/>
        </w:rPr>
      </w:pPr>
      <w:r>
        <w:rPr>
          <w:rFonts w:ascii="Times New Roman" w:hAnsi="Times New Roman"/>
          <w:szCs w:val="20"/>
        </w:rPr>
        <w:t>GB/T 10595 带式输送机</w:t>
      </w:r>
    </w:p>
    <w:p>
      <w:pPr>
        <w:pStyle w:val="27"/>
        <w:rPr>
          <w:rFonts w:ascii="Times New Roman" w:hAnsi="Times New Roman"/>
          <w:szCs w:val="20"/>
        </w:rPr>
      </w:pPr>
      <w:r>
        <w:rPr>
          <w:rFonts w:ascii="Times New Roman" w:hAnsi="Times New Roman"/>
          <w:szCs w:val="20"/>
        </w:rPr>
        <w:t>GB/T 10596 埋刮板输送机</w:t>
      </w:r>
    </w:p>
    <w:p>
      <w:pPr>
        <w:pStyle w:val="27"/>
        <w:rPr>
          <w:rFonts w:ascii="Times New Roman" w:hAnsi="Times New Roman"/>
          <w:szCs w:val="20"/>
        </w:rPr>
      </w:pPr>
      <w:r>
        <w:rPr>
          <w:rFonts w:ascii="Times New Roman" w:hAnsi="Times New Roman"/>
          <w:szCs w:val="20"/>
        </w:rPr>
        <w:t>GB/T 12706 《额定电压1kV(Um=1.2kV)到35kV(Um=40.5kV)挤包绝缘电力电缆及附件》</w:t>
      </w:r>
    </w:p>
    <w:p>
      <w:pPr>
        <w:pStyle w:val="27"/>
        <w:rPr>
          <w:rFonts w:ascii="Times New Roman" w:hAnsi="Times New Roman"/>
          <w:szCs w:val="20"/>
        </w:rPr>
      </w:pPr>
      <w:r>
        <w:rPr>
          <w:rFonts w:ascii="Times New Roman" w:hAnsi="Times New Roman"/>
          <w:szCs w:val="20"/>
        </w:rPr>
        <w:t>GB/T 16714 连续式粮食干燥机</w:t>
      </w:r>
    </w:p>
    <w:p>
      <w:pPr>
        <w:pStyle w:val="27"/>
        <w:rPr>
          <w:rFonts w:ascii="Times New Roman" w:hAnsi="Times New Roman"/>
          <w:szCs w:val="20"/>
        </w:rPr>
      </w:pPr>
      <w:r>
        <w:rPr>
          <w:rFonts w:ascii="Times New Roman" w:hAnsi="Times New Roman"/>
          <w:szCs w:val="20"/>
        </w:rPr>
        <w:t>GB/T 17891 优质稻谷</w:t>
      </w:r>
    </w:p>
    <w:p>
      <w:pPr>
        <w:pStyle w:val="27"/>
        <w:rPr>
          <w:rFonts w:ascii="Times New Roman" w:hAnsi="Times New Roman"/>
          <w:szCs w:val="20"/>
        </w:rPr>
      </w:pPr>
      <w:r>
        <w:rPr>
          <w:rFonts w:ascii="Times New Roman" w:hAnsi="Times New Roman"/>
          <w:szCs w:val="20"/>
        </w:rPr>
        <w:t>GB/T 23821 机械安全 防止上下肢触及危险区的安全距离</w:t>
      </w:r>
    </w:p>
    <w:p>
      <w:pPr>
        <w:pStyle w:val="27"/>
        <w:rPr>
          <w:rFonts w:ascii="Times New Roman" w:hAnsi="Times New Roman"/>
          <w:szCs w:val="20"/>
        </w:rPr>
      </w:pPr>
      <w:r>
        <w:rPr>
          <w:rFonts w:ascii="Times New Roman" w:hAnsi="Times New Roman"/>
          <w:szCs w:val="20"/>
        </w:rPr>
        <w:t>GB/T 25235 粮油机械 组合清理筛</w:t>
      </w:r>
    </w:p>
    <w:p>
      <w:pPr>
        <w:pStyle w:val="27"/>
        <w:rPr>
          <w:rFonts w:ascii="Times New Roman" w:hAnsi="Times New Roman"/>
          <w:szCs w:val="20"/>
        </w:rPr>
      </w:pPr>
      <w:r>
        <w:rPr>
          <w:rFonts w:ascii="Times New Roman" w:hAnsi="Times New Roman"/>
          <w:szCs w:val="20"/>
        </w:rPr>
        <w:t>GB/T 26893 粮油机械 圆筒初清筛</w:t>
      </w:r>
    </w:p>
    <w:p>
      <w:pPr>
        <w:pStyle w:val="27"/>
        <w:rPr>
          <w:rFonts w:ascii="Times New Roman" w:hAnsi="Times New Roman"/>
          <w:szCs w:val="20"/>
        </w:rPr>
      </w:pPr>
      <w:r>
        <w:rPr>
          <w:rFonts w:ascii="Times New Roman" w:hAnsi="Times New Roman"/>
          <w:szCs w:val="20"/>
        </w:rPr>
        <w:t>GB/T 37513 粮油机械 低破碎斗式提升机</w:t>
      </w:r>
    </w:p>
    <w:p>
      <w:pPr>
        <w:pStyle w:val="27"/>
        <w:rPr>
          <w:rFonts w:ascii="Times New Roman" w:hAnsi="Times New Roman"/>
          <w:szCs w:val="20"/>
        </w:rPr>
      </w:pPr>
      <w:r>
        <w:rPr>
          <w:rFonts w:ascii="Times New Roman" w:hAnsi="Times New Roman"/>
          <w:szCs w:val="20"/>
        </w:rPr>
        <w:t>GB/T 37519 粮油机械 斗式提升机</w:t>
      </w:r>
    </w:p>
    <w:p>
      <w:pPr>
        <w:pStyle w:val="27"/>
        <w:rPr>
          <w:rFonts w:ascii="Times New Roman" w:hAnsi="Times New Roman"/>
          <w:szCs w:val="20"/>
        </w:rPr>
      </w:pPr>
      <w:r>
        <w:rPr>
          <w:rFonts w:ascii="Times New Roman" w:hAnsi="Times New Roman"/>
          <w:szCs w:val="20"/>
        </w:rPr>
        <w:t>NY 2802 谷物干燥机大气污染物排放标准</w:t>
      </w:r>
    </w:p>
    <w:p>
      <w:pPr>
        <w:pStyle w:val="27"/>
        <w:rPr>
          <w:rFonts w:ascii="Times New Roman" w:hAnsi="Times New Roman"/>
          <w:szCs w:val="20"/>
        </w:rPr>
      </w:pPr>
      <w:r>
        <w:rPr>
          <w:rFonts w:ascii="Times New Roman" w:hAnsi="Times New Roman"/>
          <w:szCs w:val="20"/>
        </w:rPr>
        <w:t>NY/T 2844 双层圆筒初清筛</w:t>
      </w:r>
    </w:p>
    <w:p>
      <w:pPr>
        <w:pStyle w:val="27"/>
        <w:rPr>
          <w:rFonts w:ascii="Times New Roman" w:hAnsi="Times New Roman"/>
          <w:szCs w:val="20"/>
        </w:rPr>
      </w:pPr>
      <w:r>
        <w:rPr>
          <w:rFonts w:ascii="Times New Roman" w:hAnsi="Times New Roman"/>
          <w:szCs w:val="20"/>
        </w:rPr>
        <w:t>JB/T 9800 装配式金属筒仓</w:t>
      </w:r>
    </w:p>
    <w:p>
      <w:pPr>
        <w:pStyle w:val="27"/>
        <w:rPr>
          <w:rFonts w:ascii="Times New Roman" w:hAnsi="Times New Roman"/>
          <w:szCs w:val="20"/>
        </w:rPr>
      </w:pPr>
      <w:r>
        <w:rPr>
          <w:rFonts w:ascii="Times New Roman" w:hAnsi="Times New Roman"/>
          <w:szCs w:val="20"/>
        </w:rPr>
        <w:t>JB/T 10216 电控配电用电缆桥架</w:t>
      </w:r>
    </w:p>
    <w:p>
      <w:pPr>
        <w:pStyle w:val="27"/>
        <w:rPr>
          <w:rFonts w:ascii="Times New Roman" w:hAnsi="Times New Roman"/>
          <w:szCs w:val="20"/>
        </w:rPr>
      </w:pPr>
      <w:r>
        <w:rPr>
          <w:rFonts w:ascii="Times New Roman" w:hAnsi="Times New Roman"/>
          <w:szCs w:val="20"/>
        </w:rPr>
        <w:t>JB/T 10268 批式循环谷物干燥机</w:t>
      </w:r>
    </w:p>
    <w:p>
      <w:pPr>
        <w:pStyle w:val="27"/>
        <w:rPr>
          <w:rFonts w:ascii="Times New Roman" w:hAnsi="Times New Roman"/>
          <w:szCs w:val="20"/>
        </w:rPr>
      </w:pPr>
      <w:r>
        <w:rPr>
          <w:rFonts w:ascii="Times New Roman" w:hAnsi="Times New Roman"/>
          <w:szCs w:val="20"/>
        </w:rPr>
        <w:t>JB/T 11934 饲料机械埋刮板输送机</w:t>
      </w:r>
    </w:p>
    <w:p>
      <w:pPr>
        <w:pStyle w:val="27"/>
        <w:rPr>
          <w:rFonts w:ascii="Times New Roman" w:hAnsi="Times New Roman"/>
          <w:szCs w:val="20"/>
        </w:rPr>
      </w:pPr>
      <w:r>
        <w:rPr>
          <w:rFonts w:ascii="Times New Roman" w:hAnsi="Times New Roman"/>
          <w:szCs w:val="20"/>
        </w:rPr>
        <w:t>JB/T 13628 循环式粮食干燥机</w:t>
      </w:r>
    </w:p>
    <w:p>
      <w:pPr>
        <w:pStyle w:val="27"/>
        <w:rPr>
          <w:rFonts w:ascii="Times New Roman" w:hAnsi="Times New Roman"/>
          <w:szCs w:val="20"/>
        </w:rPr>
      </w:pPr>
      <w:r>
        <w:rPr>
          <w:rFonts w:ascii="Times New Roman" w:hAnsi="Times New Roman"/>
          <w:szCs w:val="20"/>
        </w:rPr>
        <w:t>AQ4229 粮食立筒仓粉尘防爆安全规范</w:t>
      </w:r>
    </w:p>
    <w:p>
      <w:pPr>
        <w:pStyle w:val="27"/>
        <w:rPr>
          <w:rFonts w:ascii="Times New Roman" w:hAnsi="Times New Roman"/>
          <w:szCs w:val="20"/>
        </w:rPr>
      </w:pPr>
      <w:r>
        <w:rPr>
          <w:rFonts w:ascii="Times New Roman" w:hAnsi="Times New Roman"/>
          <w:szCs w:val="20"/>
        </w:rPr>
        <w:t>TSG ZB001 燃油(气)燃烧器安全技术规则</w:t>
      </w:r>
    </w:p>
    <w:p>
      <w:pPr>
        <w:pStyle w:val="27"/>
        <w:rPr>
          <w:rFonts w:ascii="Times New Roman" w:hAnsi="Times New Roman"/>
          <w:szCs w:val="20"/>
        </w:rPr>
      </w:pPr>
      <w:r>
        <w:rPr>
          <w:rFonts w:ascii="Times New Roman" w:hAnsi="Times New Roman"/>
          <w:szCs w:val="20"/>
        </w:rPr>
        <w:t>NB/T 34040 小型生物质热风炉技术条件</w:t>
      </w:r>
    </w:p>
    <w:p>
      <w:pPr>
        <w:pStyle w:val="27"/>
        <w:rPr>
          <w:rFonts w:ascii="Times New Roman" w:hAnsi="Times New Roman"/>
          <w:szCs w:val="20"/>
        </w:rPr>
      </w:pPr>
      <w:r>
        <w:rPr>
          <w:rFonts w:ascii="Times New Roman" w:hAnsi="Times New Roman"/>
          <w:szCs w:val="20"/>
        </w:rPr>
        <w:t>烘干机（塔）房建设工作指引（试行）</w:t>
      </w:r>
    </w:p>
    <w:p>
      <w:pPr>
        <w:pStyle w:val="27"/>
        <w:rPr>
          <w:rFonts w:ascii="Times New Roman" w:hAnsi="Times New Roman"/>
          <w:szCs w:val="20"/>
        </w:rPr>
      </w:pPr>
    </w:p>
    <w:p>
      <w:pPr>
        <w:pStyle w:val="29"/>
        <w:numPr>
          <w:ilvl w:val="0"/>
          <w:numId w:val="3"/>
        </w:numPr>
        <w:spacing w:before="156" w:beforeLines="50" w:after="156" w:afterLines="50" w:line="480" w:lineRule="auto"/>
        <w:ind w:left="0"/>
        <w:rPr>
          <w:rFonts w:ascii="Times New Roman"/>
        </w:rPr>
      </w:pPr>
      <w:bookmarkStart w:id="10" w:name="_Toc116398188"/>
      <w:r>
        <w:rPr>
          <w:rFonts w:ascii="Times New Roman"/>
        </w:rPr>
        <w:t>术语和定义</w:t>
      </w:r>
      <w:bookmarkEnd w:id="10"/>
    </w:p>
    <w:p>
      <w:pPr>
        <w:widowControl w:val="0"/>
        <w:autoSpaceDE w:val="0"/>
        <w:autoSpaceDN w:val="0"/>
        <w:snapToGrid/>
        <w:spacing w:line="240" w:lineRule="auto"/>
        <w:ind w:firstLine="420" w:firstLineChars="200"/>
        <w:outlineLvl w:val="9"/>
        <w:rPr>
          <w:rFonts w:ascii="Times New Roman" w:eastAsia="宋体"/>
        </w:rPr>
      </w:pPr>
      <w:bookmarkStart w:id="11" w:name="_Toc110602300"/>
      <w:bookmarkStart w:id="12" w:name="_Toc110600255"/>
      <w:r>
        <w:rPr>
          <w:rFonts w:ascii="Times New Roman" w:eastAsia="宋体"/>
        </w:rPr>
        <w:t>下列术语和定义适用于本文件。</w:t>
      </w:r>
      <w:bookmarkEnd w:id="11"/>
      <w:bookmarkEnd w:id="12"/>
    </w:p>
    <w:p>
      <w:pPr>
        <w:pStyle w:val="28"/>
        <w:numPr>
          <w:ilvl w:val="1"/>
          <w:numId w:val="3"/>
        </w:numPr>
        <w:spacing w:before="156" w:after="156" w:line="360" w:lineRule="exact"/>
        <w:rPr>
          <w:rFonts w:ascii="Times New Roman"/>
        </w:rPr>
      </w:pPr>
      <w:bookmarkStart w:id="13" w:name="_Toc110602301"/>
      <w:bookmarkEnd w:id="13"/>
      <w:bookmarkStart w:id="14" w:name="_Toc110600256"/>
      <w:bookmarkEnd w:id="14"/>
      <w:bookmarkStart w:id="15" w:name="_Toc110600257"/>
      <w:bookmarkStart w:id="16" w:name="_Toc110602302"/>
      <w:r>
        <w:rPr>
          <w:rFonts w:ascii="Times New Roman"/>
        </w:rPr>
        <w:t>稻谷烘干中心</w:t>
      </w:r>
      <w:bookmarkEnd w:id="15"/>
      <w:bookmarkEnd w:id="16"/>
    </w:p>
    <w:p>
      <w:pPr>
        <w:widowControl w:val="0"/>
        <w:autoSpaceDE w:val="0"/>
        <w:autoSpaceDN w:val="0"/>
        <w:snapToGrid/>
        <w:spacing w:line="240" w:lineRule="auto"/>
        <w:ind w:firstLine="420" w:firstLineChars="200"/>
        <w:jc w:val="both"/>
        <w:outlineLvl w:val="9"/>
        <w:rPr>
          <w:rFonts w:ascii="Times New Roman" w:eastAsia="宋体"/>
        </w:rPr>
      </w:pPr>
      <w:r>
        <w:rPr>
          <w:rFonts w:ascii="Times New Roman" w:eastAsia="宋体"/>
        </w:rPr>
        <w:t>按一定的规模建设，可实现湿稻谷进行称重、清选、烘干、暂存等的工程项目。一般由烘干中心成套设备与烘干机（塔）房、除尘室、配电室、锅炉房、办公用房和检验室等附属设施所组成。</w:t>
      </w:r>
    </w:p>
    <w:p>
      <w:pPr>
        <w:pStyle w:val="28"/>
        <w:numPr>
          <w:ilvl w:val="1"/>
          <w:numId w:val="3"/>
        </w:numPr>
        <w:spacing w:before="156" w:after="156" w:line="360" w:lineRule="exact"/>
        <w:rPr>
          <w:rFonts w:ascii="Times New Roman"/>
        </w:rPr>
      </w:pPr>
      <w:bookmarkStart w:id="17" w:name="_Toc110602303"/>
      <w:bookmarkEnd w:id="17"/>
      <w:bookmarkStart w:id="18" w:name="_Toc110600258"/>
      <w:bookmarkEnd w:id="18"/>
      <w:bookmarkStart w:id="19" w:name="_Toc110602304"/>
      <w:bookmarkStart w:id="20" w:name="_Toc110600259"/>
      <w:r>
        <w:rPr>
          <w:rFonts w:ascii="Times New Roman"/>
        </w:rPr>
        <w:t>烘干中心规模</w:t>
      </w:r>
      <w:bookmarkEnd w:id="19"/>
      <w:bookmarkEnd w:id="20"/>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烘干机单批次处理湿稻谷重量，一般按每批多少吨计算。</w:t>
      </w:r>
    </w:p>
    <w:p>
      <w:pPr>
        <w:pStyle w:val="28"/>
        <w:numPr>
          <w:ilvl w:val="1"/>
          <w:numId w:val="3"/>
        </w:numPr>
        <w:spacing w:before="156" w:after="156" w:line="360" w:lineRule="exact"/>
        <w:rPr>
          <w:rFonts w:ascii="Times New Roman"/>
        </w:rPr>
      </w:pPr>
      <w:bookmarkStart w:id="21" w:name="_Toc110602307"/>
      <w:bookmarkEnd w:id="21"/>
      <w:bookmarkStart w:id="22" w:name="_Toc110600260"/>
      <w:bookmarkEnd w:id="22"/>
      <w:bookmarkStart w:id="23" w:name="_Toc110600262"/>
      <w:bookmarkEnd w:id="23"/>
      <w:bookmarkStart w:id="24" w:name="_Toc110602305"/>
      <w:bookmarkEnd w:id="24"/>
      <w:bookmarkStart w:id="25" w:name="_Toc110602308"/>
      <w:bookmarkStart w:id="26" w:name="_Toc110600263"/>
      <w:r>
        <w:rPr>
          <w:rFonts w:ascii="Times New Roman"/>
        </w:rPr>
        <w:t>批处理量</w:t>
      </w:r>
      <w:bookmarkEnd w:id="25"/>
      <w:bookmarkEnd w:id="26"/>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按有效容积一次装满烘干机的湿稻谷重量，单位为吨/批。</w:t>
      </w:r>
    </w:p>
    <w:p>
      <w:pPr>
        <w:pStyle w:val="28"/>
        <w:numPr>
          <w:ilvl w:val="1"/>
          <w:numId w:val="3"/>
        </w:numPr>
        <w:spacing w:before="156" w:after="156" w:line="360" w:lineRule="exact"/>
        <w:rPr>
          <w:rFonts w:ascii="Times New Roman"/>
        </w:rPr>
      </w:pPr>
      <w:r>
        <w:rPr>
          <w:rFonts w:ascii="Times New Roman"/>
        </w:rPr>
        <w:t>烘干中心成套设备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完成湿稻谷称重、清选、烘干、暂存等作业的主要设施设备及附属设施设备的统称。一般包括汽车衡（地磅）、清选、烘干、烘前暂存、烘后暂存等分项成套设备所组成。</w:t>
      </w:r>
    </w:p>
    <w:p>
      <w:pPr>
        <w:pStyle w:val="28"/>
        <w:numPr>
          <w:ilvl w:val="1"/>
          <w:numId w:val="3"/>
        </w:numPr>
        <w:spacing w:before="156" w:after="156" w:line="360" w:lineRule="exact"/>
        <w:rPr>
          <w:rFonts w:ascii="Times New Roman"/>
        </w:rPr>
      </w:pPr>
      <w:r>
        <w:rPr>
          <w:rFonts w:ascii="Times New Roman"/>
        </w:rPr>
        <w:t>汽车衡成套设备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主要为汽车衡（或称地磅），对湿稻谷进行整车称重的衡器。主要由承载器、称重显示仪表、称重传感器等零部件组成。</w:t>
      </w:r>
    </w:p>
    <w:p>
      <w:pPr>
        <w:pStyle w:val="28"/>
        <w:numPr>
          <w:ilvl w:val="1"/>
          <w:numId w:val="3"/>
        </w:numPr>
        <w:spacing w:before="156" w:after="156" w:line="360" w:lineRule="exact"/>
        <w:rPr>
          <w:rFonts w:ascii="Times New Roman"/>
        </w:rPr>
      </w:pPr>
      <w:r>
        <w:rPr>
          <w:rFonts w:ascii="Times New Roman"/>
        </w:rPr>
        <w:t>清选成套设备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去除稻谷杂质的成套设备，主要包括卸粮斗、地坑格栅、提升机、清理筛（圆筒初清筛或组合式清理筛）等设备。</w:t>
      </w:r>
    </w:p>
    <w:p>
      <w:pPr>
        <w:pStyle w:val="28"/>
        <w:numPr>
          <w:ilvl w:val="1"/>
          <w:numId w:val="3"/>
        </w:numPr>
        <w:spacing w:before="156" w:after="156" w:line="360" w:lineRule="exact"/>
        <w:rPr>
          <w:rFonts w:ascii="Times New Roman"/>
        </w:rPr>
      </w:pPr>
      <w:r>
        <w:rPr>
          <w:rFonts w:ascii="Times New Roman"/>
        </w:rPr>
        <w:t>烘干成套设备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实现粮食烘干作业的成套设备，主要包括稻谷烘干机主体及配套的热源、进料提升机、进料刮板（皮带）输送机、出料刮板（皮带）输送机、电控系统等设备。</w:t>
      </w:r>
    </w:p>
    <w:p>
      <w:pPr>
        <w:pStyle w:val="28"/>
        <w:numPr>
          <w:ilvl w:val="1"/>
          <w:numId w:val="3"/>
        </w:numPr>
        <w:spacing w:before="156" w:after="156" w:line="360" w:lineRule="exact"/>
        <w:rPr>
          <w:rFonts w:ascii="Times New Roman"/>
        </w:rPr>
      </w:pPr>
      <w:r>
        <w:rPr>
          <w:rFonts w:ascii="Times New Roman"/>
        </w:rPr>
        <w:t>稻谷烘前暂存成套设备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稻谷烘干前用于湿稻谷暂存的成套设备，主要包括钢板仓、提升机及塔架、出料刮板（皮带）输送机、通风系统等设施设备。</w:t>
      </w:r>
    </w:p>
    <w:p>
      <w:pPr>
        <w:pStyle w:val="28"/>
        <w:numPr>
          <w:ilvl w:val="1"/>
          <w:numId w:val="3"/>
        </w:numPr>
        <w:spacing w:before="156" w:after="156" w:line="360" w:lineRule="exact"/>
        <w:rPr>
          <w:rFonts w:ascii="Times New Roman"/>
        </w:rPr>
      </w:pPr>
      <w:r>
        <w:rPr>
          <w:rFonts w:ascii="Times New Roman"/>
        </w:rPr>
        <w:t>稻谷烘后暂存成套设备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稻谷烘干后用于干稻谷暂存的的成套设备，主要包括钢板仓、提升机及塔架、出料刮板（皮带）输送机、通风系统等设施设备。</w:t>
      </w:r>
    </w:p>
    <w:p>
      <w:pPr>
        <w:pStyle w:val="28"/>
        <w:numPr>
          <w:ilvl w:val="1"/>
          <w:numId w:val="3"/>
        </w:numPr>
        <w:spacing w:before="156" w:after="156" w:line="360" w:lineRule="exact"/>
        <w:rPr>
          <w:rFonts w:ascii="Times New Roman"/>
        </w:rPr>
      </w:pPr>
      <w:r>
        <w:rPr>
          <w:rFonts w:ascii="Times New Roman"/>
        </w:rPr>
        <w:t>烘干机（塔）房</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用于安置烘干成套设备的设施。</w:t>
      </w:r>
    </w:p>
    <w:p>
      <w:pPr>
        <w:pStyle w:val="28"/>
        <w:numPr>
          <w:ilvl w:val="1"/>
          <w:numId w:val="3"/>
        </w:numPr>
        <w:spacing w:before="156" w:after="156" w:line="360" w:lineRule="exact"/>
        <w:rPr>
          <w:rFonts w:ascii="Times New Roman"/>
        </w:rPr>
      </w:pPr>
      <w:r>
        <w:rPr>
          <w:rFonts w:ascii="Times New Roman"/>
        </w:rPr>
        <w:t>除尘间</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烘干中心进行粉尘集中沉降的设施，根据各地环保要求，具体除尘方式可采用重力沉降、重力结合喷淋、重力结合布袋除尘等不同的方式。</w:t>
      </w:r>
    </w:p>
    <w:p>
      <w:pPr>
        <w:pStyle w:val="29"/>
        <w:numPr>
          <w:ilvl w:val="0"/>
          <w:numId w:val="3"/>
        </w:numPr>
        <w:spacing w:before="156" w:beforeLines="50" w:after="156" w:afterLines="50" w:line="480" w:lineRule="auto"/>
        <w:ind w:left="0"/>
        <w:rPr>
          <w:rFonts w:ascii="Times New Roman"/>
        </w:rPr>
      </w:pPr>
      <w:bookmarkStart w:id="27" w:name="_Toc116398189"/>
      <w:r>
        <w:rPr>
          <w:rFonts w:ascii="Times New Roman"/>
        </w:rPr>
        <w:t>工艺流程</w:t>
      </w:r>
      <w:bookmarkEnd w:id="27"/>
    </w:p>
    <w:p>
      <w:pPr>
        <w:widowControl w:val="0"/>
        <w:adjustRightInd/>
        <w:snapToGrid/>
        <w:spacing w:line="240" w:lineRule="auto"/>
        <w:jc w:val="center"/>
        <w:outlineLvl w:val="9"/>
        <w:rPr>
          <w:rFonts w:ascii="Times New Roman"/>
        </w:rPr>
      </w:pPr>
      <w:r>
        <w:rPr>
          <w:rFonts w:ascii="Times New Roman"/>
        </w:rPr>
        <w:object>
          <v:shape id="_x0000_i1025" o:spt="75" type="#_x0000_t75" style="height:21.45pt;width:354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pPr>
        <w:pStyle w:val="27"/>
        <w:ind w:firstLine="0" w:firstLineChars="0"/>
        <w:jc w:val="center"/>
        <w:rPr>
          <w:rFonts w:ascii="Times New Roman" w:hAnsi="Times New Roman"/>
        </w:rPr>
      </w:pPr>
      <w:r>
        <w:rPr>
          <w:rFonts w:ascii="Times New Roman" w:hAnsi="Times New Roman" w:eastAsia="黑体"/>
        </w:rPr>
        <w:t>图1 稻谷烘干中心工艺流程</w:t>
      </w:r>
    </w:p>
    <w:p>
      <w:pPr>
        <w:pStyle w:val="29"/>
        <w:numPr>
          <w:ilvl w:val="0"/>
          <w:numId w:val="3"/>
        </w:numPr>
        <w:spacing w:before="156" w:beforeLines="50" w:after="156" w:afterLines="50" w:line="480" w:lineRule="auto"/>
        <w:ind w:left="0"/>
        <w:rPr>
          <w:rFonts w:ascii="Times New Roman"/>
        </w:rPr>
      </w:pPr>
      <w:bookmarkStart w:id="28" w:name="_Toc116398190"/>
      <w:r>
        <w:rPr>
          <w:rFonts w:ascii="Times New Roman"/>
        </w:rPr>
        <w:t>建设要求</w:t>
      </w:r>
      <w:bookmarkEnd w:id="28"/>
    </w:p>
    <w:p>
      <w:pPr>
        <w:pStyle w:val="27"/>
        <w:rPr>
          <w:rFonts w:ascii="Times New Roman" w:hAnsi="Times New Roman"/>
        </w:rPr>
      </w:pPr>
      <w:r>
        <w:rPr>
          <w:rFonts w:ascii="Times New Roman" w:hAnsi="Times New Roman"/>
        </w:rPr>
        <w:t>烘干中心各生产性建筑的设计使用年限不低于25年、各生产性设备的设计使用年限不低于10年，参照烘干机（塔）房建设工作指引（试行）。</w:t>
      </w:r>
    </w:p>
    <w:p>
      <w:pPr>
        <w:pStyle w:val="28"/>
        <w:numPr>
          <w:ilvl w:val="1"/>
          <w:numId w:val="3"/>
        </w:numPr>
        <w:spacing w:before="156" w:after="156" w:line="360" w:lineRule="exact"/>
        <w:rPr>
          <w:rFonts w:ascii="Times New Roman"/>
        </w:rPr>
      </w:pPr>
      <w:r>
        <w:rPr>
          <w:rFonts w:ascii="Times New Roman"/>
        </w:rPr>
        <w:t>建设规模</w:t>
      </w:r>
    </w:p>
    <w:p>
      <w:pPr>
        <w:pStyle w:val="28"/>
        <w:spacing w:before="156" w:after="156" w:line="360" w:lineRule="exact"/>
        <w:rPr>
          <w:rFonts w:ascii="Times New Roman" w:eastAsia="宋体"/>
          <w:b/>
          <w:szCs w:val="24"/>
        </w:rPr>
      </w:pPr>
      <w:bookmarkStart w:id="29" w:name="_Toc110600265"/>
      <w:bookmarkStart w:id="30" w:name="_Toc110602310"/>
      <w:r>
        <w:rPr>
          <w:rFonts w:ascii="Times New Roman" w:eastAsia="宋体"/>
          <w:b/>
          <w:szCs w:val="24"/>
        </w:rPr>
        <w:t>5.1.1 建设规模</w:t>
      </w:r>
    </w:p>
    <w:bookmarkEnd w:id="29"/>
    <w:bookmarkEnd w:id="30"/>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稻谷烘干中心应具备一定的规模，通过对</w:t>
      </w:r>
      <w:r>
        <w:rPr>
          <w:rFonts w:hint="eastAsia" w:ascii="Times New Roman" w:eastAsia="宋体"/>
        </w:rPr>
        <w:t>江西省</w:t>
      </w:r>
      <w:r>
        <w:rPr>
          <w:rFonts w:ascii="Times New Roman" w:eastAsia="宋体"/>
        </w:rPr>
        <w:t>的现状与需求调研，按照规模适度、充分利用的原则，共提出七种烘干中心建设规模，具体见表1。</w:t>
      </w:r>
    </w:p>
    <w:p>
      <w:pPr>
        <w:widowControl w:val="0"/>
        <w:autoSpaceDE w:val="0"/>
        <w:autoSpaceDN w:val="0"/>
        <w:snapToGrid/>
        <w:spacing w:line="240" w:lineRule="auto"/>
        <w:jc w:val="center"/>
        <w:outlineLvl w:val="9"/>
        <w:rPr>
          <w:rFonts w:ascii="Times New Roman"/>
        </w:rPr>
      </w:pPr>
      <w:r>
        <w:rPr>
          <w:rFonts w:ascii="Times New Roman"/>
        </w:rPr>
        <w:t>表1  稻谷烘干中心建设规模分级情况表</w:t>
      </w:r>
    </w:p>
    <w:tbl>
      <w:tblPr>
        <w:tblStyle w:val="2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9"/>
        <w:gridCol w:w="955"/>
        <w:gridCol w:w="955"/>
        <w:gridCol w:w="955"/>
        <w:gridCol w:w="957"/>
        <w:gridCol w:w="957"/>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建设规模</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Ⅰ型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Ⅱ型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Ⅲ型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Ⅳ型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Ⅴ型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Ⅵ型</w:t>
            </w:r>
          </w:p>
        </w:tc>
        <w:tc>
          <w:tcPr>
            <w:tcW w:w="972" w:type="dxa"/>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widowControl w:val="0"/>
              <w:adjustRightInd/>
              <w:snapToGrid/>
              <w:spacing w:line="360" w:lineRule="exact"/>
              <w:jc w:val="center"/>
              <w:outlineLvl w:val="9"/>
              <w:rPr>
                <w:rFonts w:ascii="Times New Roman" w:eastAsia="宋体"/>
                <w:sz w:val="18"/>
                <w:szCs w:val="18"/>
              </w:rPr>
            </w:pPr>
            <w:r>
              <w:rPr>
                <w:rFonts w:ascii="Times New Roman" w:eastAsia="宋体"/>
                <w:sz w:val="18"/>
                <w:szCs w:val="18"/>
              </w:rPr>
              <w:t>批处理量（t）</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40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80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120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180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240</w:t>
            </w:r>
          </w:p>
        </w:tc>
        <w:tc>
          <w:tcPr>
            <w:tcW w:w="972"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300</w:t>
            </w:r>
          </w:p>
        </w:tc>
      </w:tr>
    </w:tbl>
    <w:p>
      <w:pPr>
        <w:pStyle w:val="28"/>
        <w:spacing w:before="156" w:after="156" w:line="360" w:lineRule="exact"/>
        <w:rPr>
          <w:rFonts w:ascii="Times New Roman" w:eastAsia="宋体"/>
          <w:b/>
          <w:szCs w:val="24"/>
        </w:rPr>
      </w:pPr>
      <w:r>
        <w:rPr>
          <w:rFonts w:ascii="Times New Roman" w:eastAsia="宋体"/>
          <w:b/>
          <w:szCs w:val="24"/>
        </w:rPr>
        <w:t>5.1.2 热源燃料</w:t>
      </w:r>
    </w:p>
    <w:p>
      <w:pPr>
        <w:widowControl w:val="0"/>
        <w:autoSpaceDE w:val="0"/>
        <w:autoSpaceDN w:val="0"/>
        <w:snapToGrid/>
        <w:spacing w:line="240" w:lineRule="auto"/>
        <w:ind w:firstLine="420" w:firstLineChars="200"/>
        <w:jc w:val="both"/>
        <w:outlineLvl w:val="9"/>
        <w:rPr>
          <w:rFonts w:ascii="Times New Roman" w:eastAsia="宋体"/>
        </w:rPr>
      </w:pPr>
      <w:r>
        <w:rPr>
          <w:rFonts w:ascii="Times New Roman" w:eastAsia="宋体"/>
        </w:rPr>
        <w:t>烘干中心采用燃料主要为生物质颗粒燃料，也有少量的燃油和天然气。</w:t>
      </w:r>
    </w:p>
    <w:p>
      <w:pPr>
        <w:pStyle w:val="28"/>
        <w:spacing w:before="156" w:after="156" w:line="360" w:lineRule="exact"/>
        <w:rPr>
          <w:rFonts w:ascii="Times New Roman" w:eastAsia="宋体"/>
          <w:b/>
          <w:szCs w:val="24"/>
        </w:rPr>
      </w:pPr>
      <w:r>
        <w:rPr>
          <w:rFonts w:ascii="Times New Roman" w:eastAsia="宋体"/>
          <w:b/>
          <w:szCs w:val="24"/>
        </w:rPr>
        <w:t>5.1.3 主要技术指标</w:t>
      </w:r>
    </w:p>
    <w:p>
      <w:pPr>
        <w:widowControl w:val="0"/>
        <w:autoSpaceDE w:val="0"/>
        <w:autoSpaceDN w:val="0"/>
        <w:snapToGrid/>
        <w:spacing w:line="240" w:lineRule="auto"/>
        <w:ind w:firstLine="420" w:firstLineChars="200"/>
        <w:jc w:val="both"/>
        <w:outlineLvl w:val="9"/>
        <w:rPr>
          <w:rFonts w:ascii="Times New Roman" w:eastAsia="宋体"/>
        </w:rPr>
      </w:pPr>
      <w:r>
        <w:rPr>
          <w:rFonts w:ascii="Times New Roman" w:eastAsia="宋体"/>
        </w:rPr>
        <w:t>烘干中心设施设备主要包括烘干成套设备、烘干房、储藏库、湿粮暂存仓（棚）、晒场、维修间、配电室、燃料库（罐）、办公室、检验化验室等。不同规模的稻谷烘干中心应具备一定的条件，本规范只规定优先满足烘干成套设备建设的基本条件，具体见表2。</w:t>
      </w:r>
    </w:p>
    <w:p>
      <w:pPr>
        <w:widowControl w:val="0"/>
        <w:autoSpaceDE w:val="0"/>
        <w:autoSpaceDN w:val="0"/>
        <w:snapToGrid/>
        <w:spacing w:line="240" w:lineRule="auto"/>
        <w:jc w:val="center"/>
        <w:outlineLvl w:val="9"/>
        <w:rPr>
          <w:rFonts w:ascii="Times New Roman"/>
        </w:rPr>
      </w:pPr>
      <w:bookmarkStart w:id="31" w:name="_Toc110600267"/>
      <w:bookmarkStart w:id="32" w:name="_Toc110602312"/>
      <w:r>
        <w:rPr>
          <w:rFonts w:ascii="Times New Roman"/>
        </w:rPr>
        <w:t>表2  粮食烘干中心规模及</w:t>
      </w:r>
      <w:bookmarkEnd w:id="31"/>
      <w:bookmarkEnd w:id="32"/>
      <w:r>
        <w:rPr>
          <w:rFonts w:ascii="Times New Roman"/>
        </w:rPr>
        <w:t>技术指标</w:t>
      </w:r>
    </w:p>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1"/>
        <w:gridCol w:w="850"/>
        <w:gridCol w:w="1559"/>
        <w:gridCol w:w="780"/>
        <w:gridCol w:w="781"/>
        <w:gridCol w:w="781"/>
        <w:gridCol w:w="781"/>
        <w:gridCol w:w="781"/>
        <w:gridCol w:w="78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421" w:type="dxa"/>
            <w:vAlign w:val="center"/>
          </w:tcPr>
          <w:p>
            <w:pPr>
              <w:spacing w:line="240" w:lineRule="auto"/>
              <w:ind w:right="-27" w:rightChars="-13"/>
              <w:jc w:val="center"/>
              <w:rPr>
                <w:rFonts w:ascii="Times New Roman" w:eastAsia="宋体"/>
                <w:b/>
                <w:sz w:val="18"/>
                <w:szCs w:val="18"/>
              </w:rPr>
            </w:pPr>
            <w:bookmarkStart w:id="33" w:name="_Toc110602313"/>
            <w:bookmarkStart w:id="34" w:name="_Toc110600268"/>
            <w:r>
              <w:rPr>
                <w:rFonts w:ascii="Times New Roman" w:eastAsia="宋体"/>
                <w:b/>
                <w:sz w:val="18"/>
                <w:szCs w:val="18"/>
              </w:rPr>
              <w:t>序号</w:t>
            </w:r>
            <w:bookmarkEnd w:id="33"/>
            <w:bookmarkEnd w:id="34"/>
          </w:p>
        </w:tc>
        <w:tc>
          <w:tcPr>
            <w:tcW w:w="2409" w:type="dxa"/>
            <w:gridSpan w:val="2"/>
            <w:vAlign w:val="center"/>
          </w:tcPr>
          <w:p>
            <w:pPr>
              <w:spacing w:line="240" w:lineRule="auto"/>
              <w:ind w:right="-27" w:rightChars="-13"/>
              <w:jc w:val="center"/>
              <w:rPr>
                <w:rFonts w:ascii="Times New Roman" w:eastAsia="宋体"/>
                <w:b/>
                <w:sz w:val="18"/>
                <w:szCs w:val="18"/>
              </w:rPr>
            </w:pPr>
            <w:bookmarkStart w:id="35" w:name="_Toc110602314"/>
            <w:bookmarkStart w:id="36" w:name="_Toc110600269"/>
            <w:r>
              <w:rPr>
                <w:rFonts w:ascii="Times New Roman" w:eastAsia="宋体"/>
                <w:b/>
                <w:sz w:val="18"/>
                <w:szCs w:val="18"/>
              </w:rPr>
              <w:t>规模指标</w:t>
            </w:r>
            <w:bookmarkEnd w:id="35"/>
            <w:bookmarkEnd w:id="36"/>
          </w:p>
        </w:tc>
        <w:tc>
          <w:tcPr>
            <w:tcW w:w="780" w:type="dxa"/>
            <w:vAlign w:val="center"/>
          </w:tcPr>
          <w:p>
            <w:pPr>
              <w:spacing w:line="240" w:lineRule="auto"/>
              <w:jc w:val="center"/>
              <w:rPr>
                <w:rFonts w:ascii="Times New Roman" w:eastAsiaTheme="minorEastAsia"/>
                <w:sz w:val="18"/>
                <w:szCs w:val="18"/>
              </w:rPr>
            </w:pPr>
            <w:bookmarkStart w:id="37" w:name="_Toc110602315"/>
            <w:bookmarkStart w:id="38" w:name="_Toc110600270"/>
            <w:r>
              <w:rPr>
                <w:rFonts w:ascii="Times New Roman" w:eastAsia="宋体"/>
                <w:b/>
                <w:sz w:val="18"/>
                <w:szCs w:val="18"/>
              </w:rPr>
              <w:t>Ⅰ型</w:t>
            </w:r>
            <w:bookmarkEnd w:id="37"/>
            <w:bookmarkEnd w:id="38"/>
          </w:p>
        </w:tc>
        <w:tc>
          <w:tcPr>
            <w:tcW w:w="781" w:type="dxa"/>
            <w:vAlign w:val="center"/>
          </w:tcPr>
          <w:p>
            <w:pPr>
              <w:spacing w:line="240" w:lineRule="auto"/>
              <w:jc w:val="center"/>
              <w:rPr>
                <w:rFonts w:ascii="Times New Roman" w:eastAsiaTheme="minorEastAsia"/>
                <w:sz w:val="18"/>
                <w:szCs w:val="18"/>
              </w:rPr>
            </w:pPr>
            <w:bookmarkStart w:id="39" w:name="_Toc110600272"/>
            <w:bookmarkStart w:id="40" w:name="_Toc110602317"/>
            <w:r>
              <w:rPr>
                <w:rFonts w:ascii="Times New Roman" w:eastAsia="宋体"/>
                <w:b/>
                <w:sz w:val="18"/>
                <w:szCs w:val="18"/>
              </w:rPr>
              <w:t>Ⅱ型</w:t>
            </w:r>
            <w:bookmarkEnd w:id="39"/>
            <w:bookmarkEnd w:id="40"/>
          </w:p>
        </w:tc>
        <w:tc>
          <w:tcPr>
            <w:tcW w:w="781" w:type="dxa"/>
            <w:vAlign w:val="center"/>
          </w:tcPr>
          <w:p>
            <w:pPr>
              <w:spacing w:line="240" w:lineRule="auto"/>
              <w:jc w:val="center"/>
              <w:rPr>
                <w:rFonts w:ascii="Times New Roman" w:eastAsiaTheme="minorEastAsia"/>
                <w:sz w:val="18"/>
                <w:szCs w:val="18"/>
              </w:rPr>
            </w:pPr>
            <w:r>
              <w:rPr>
                <w:rFonts w:ascii="Times New Roman" w:eastAsia="宋体"/>
                <w:b/>
                <w:sz w:val="18"/>
                <w:szCs w:val="18"/>
              </w:rPr>
              <w:t>Ⅲ型</w:t>
            </w:r>
          </w:p>
        </w:tc>
        <w:tc>
          <w:tcPr>
            <w:tcW w:w="781" w:type="dxa"/>
            <w:vAlign w:val="center"/>
          </w:tcPr>
          <w:p>
            <w:pPr>
              <w:spacing w:line="240" w:lineRule="auto"/>
              <w:jc w:val="center"/>
              <w:rPr>
                <w:rFonts w:ascii="Times New Roman" w:eastAsiaTheme="minorEastAsia"/>
                <w:sz w:val="18"/>
                <w:szCs w:val="18"/>
              </w:rPr>
            </w:pPr>
            <w:bookmarkStart w:id="41" w:name="_Toc110602318"/>
            <w:bookmarkStart w:id="42" w:name="_Toc110600273"/>
            <w:r>
              <w:rPr>
                <w:rFonts w:ascii="Times New Roman" w:eastAsia="宋体"/>
                <w:b/>
                <w:sz w:val="18"/>
                <w:szCs w:val="18"/>
              </w:rPr>
              <w:t>Ⅳ型</w:t>
            </w:r>
            <w:bookmarkEnd w:id="41"/>
            <w:bookmarkEnd w:id="42"/>
          </w:p>
        </w:tc>
        <w:tc>
          <w:tcPr>
            <w:tcW w:w="781" w:type="dxa"/>
            <w:vAlign w:val="center"/>
          </w:tcPr>
          <w:p>
            <w:pPr>
              <w:spacing w:line="240" w:lineRule="auto"/>
              <w:jc w:val="center"/>
              <w:rPr>
                <w:rFonts w:ascii="Times New Roman" w:eastAsiaTheme="minorEastAsia"/>
                <w:sz w:val="18"/>
                <w:szCs w:val="18"/>
              </w:rPr>
            </w:pPr>
            <w:bookmarkStart w:id="43" w:name="_Toc110600274"/>
            <w:bookmarkStart w:id="44" w:name="_Toc110602319"/>
            <w:r>
              <w:rPr>
                <w:rFonts w:ascii="Times New Roman" w:eastAsia="宋体"/>
                <w:b/>
                <w:sz w:val="18"/>
                <w:szCs w:val="18"/>
              </w:rPr>
              <w:t>Ⅴ型</w:t>
            </w:r>
            <w:bookmarkEnd w:id="43"/>
            <w:bookmarkEnd w:id="44"/>
          </w:p>
        </w:tc>
        <w:tc>
          <w:tcPr>
            <w:tcW w:w="781" w:type="dxa"/>
            <w:vAlign w:val="center"/>
          </w:tcPr>
          <w:p>
            <w:pPr>
              <w:spacing w:line="240" w:lineRule="auto"/>
              <w:jc w:val="center"/>
              <w:rPr>
                <w:rFonts w:ascii="Times New Roman" w:eastAsiaTheme="minorEastAsia"/>
                <w:sz w:val="18"/>
                <w:szCs w:val="18"/>
              </w:rPr>
            </w:pPr>
            <w:bookmarkStart w:id="45" w:name="_Toc110602320"/>
            <w:bookmarkStart w:id="46" w:name="_Toc110600275"/>
            <w:r>
              <w:rPr>
                <w:rFonts w:ascii="Times New Roman" w:eastAsia="宋体"/>
                <w:b/>
                <w:sz w:val="18"/>
                <w:szCs w:val="18"/>
              </w:rPr>
              <w:t>Ⅵ型</w:t>
            </w:r>
            <w:bookmarkEnd w:id="45"/>
            <w:bookmarkEnd w:id="46"/>
          </w:p>
        </w:tc>
        <w:tc>
          <w:tcPr>
            <w:tcW w:w="781" w:type="dxa"/>
            <w:vAlign w:val="center"/>
          </w:tcPr>
          <w:p>
            <w:pPr>
              <w:spacing w:line="240" w:lineRule="auto"/>
              <w:jc w:val="center"/>
              <w:rPr>
                <w:rFonts w:ascii="Times New Roman" w:eastAsiaTheme="minorEastAsia"/>
                <w:sz w:val="18"/>
                <w:szCs w:val="18"/>
              </w:rPr>
            </w:pPr>
            <w:r>
              <w:rPr>
                <w:rFonts w:ascii="Times New Roman" w:eastAsia="宋体"/>
                <w:b/>
                <w:sz w:val="18"/>
                <w:szCs w:val="18"/>
              </w:rPr>
              <w:t>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Align w:val="center"/>
          </w:tcPr>
          <w:p>
            <w:pPr>
              <w:spacing w:line="240" w:lineRule="auto"/>
              <w:jc w:val="center"/>
              <w:rPr>
                <w:rFonts w:ascii="Times New Roman" w:eastAsia="宋体"/>
                <w:sz w:val="18"/>
                <w:szCs w:val="18"/>
              </w:rPr>
            </w:pPr>
            <w:bookmarkStart w:id="47" w:name="_Toc110600276"/>
            <w:bookmarkStart w:id="48" w:name="_Toc110602321"/>
            <w:r>
              <w:rPr>
                <w:rFonts w:ascii="Times New Roman" w:eastAsia="宋体"/>
                <w:sz w:val="18"/>
                <w:szCs w:val="18"/>
              </w:rPr>
              <w:t>1</w:t>
            </w:r>
            <w:bookmarkEnd w:id="47"/>
            <w:bookmarkEnd w:id="48"/>
          </w:p>
        </w:tc>
        <w:tc>
          <w:tcPr>
            <w:tcW w:w="2409" w:type="dxa"/>
            <w:gridSpan w:val="2"/>
            <w:vAlign w:val="center"/>
          </w:tcPr>
          <w:p>
            <w:pPr>
              <w:spacing w:line="240" w:lineRule="auto"/>
              <w:jc w:val="center"/>
              <w:rPr>
                <w:rFonts w:ascii="Times New Roman" w:eastAsia="宋体"/>
                <w:sz w:val="18"/>
                <w:szCs w:val="18"/>
              </w:rPr>
            </w:pPr>
            <w:bookmarkStart w:id="49" w:name="_Toc110600277"/>
            <w:bookmarkStart w:id="50" w:name="_Toc110602322"/>
            <w:r>
              <w:rPr>
                <w:rFonts w:ascii="Times New Roman" w:eastAsia="宋体"/>
                <w:sz w:val="18"/>
                <w:szCs w:val="18"/>
              </w:rPr>
              <w:t>处理量</w:t>
            </w:r>
            <w:bookmarkEnd w:id="49"/>
            <w:bookmarkEnd w:id="50"/>
            <w:r>
              <w:rPr>
                <w:rFonts w:ascii="Times New Roman" w:eastAsia="宋体"/>
                <w:sz w:val="18"/>
                <w:szCs w:val="18"/>
              </w:rPr>
              <w:t>（吨/批）</w:t>
            </w:r>
          </w:p>
        </w:tc>
        <w:tc>
          <w:tcPr>
            <w:tcW w:w="780" w:type="dxa"/>
            <w:vAlign w:val="center"/>
          </w:tcPr>
          <w:p>
            <w:pPr>
              <w:widowControl w:val="0"/>
              <w:adjustRightInd/>
              <w:snapToGrid/>
              <w:spacing w:line="200" w:lineRule="exact"/>
              <w:jc w:val="center"/>
              <w:outlineLvl w:val="9"/>
              <w:rPr>
                <w:rFonts w:ascii="Times New Roman"/>
                <w:bCs/>
                <w:sz w:val="18"/>
                <w:szCs w:val="18"/>
              </w:rPr>
            </w:pPr>
            <w:bookmarkStart w:id="51" w:name="_Toc110600278"/>
            <w:bookmarkStart w:id="52" w:name="_Toc110602323"/>
            <w:r>
              <w:rPr>
                <w:rFonts w:ascii="Times New Roman"/>
                <w:bCs/>
                <w:sz w:val="18"/>
                <w:szCs w:val="18"/>
              </w:rPr>
              <w:t>40</w:t>
            </w:r>
            <w:bookmarkEnd w:id="51"/>
            <w:bookmarkEnd w:id="52"/>
          </w:p>
        </w:tc>
        <w:tc>
          <w:tcPr>
            <w:tcW w:w="781" w:type="dxa"/>
            <w:vAlign w:val="center"/>
          </w:tcPr>
          <w:p>
            <w:pPr>
              <w:widowControl w:val="0"/>
              <w:adjustRightInd/>
              <w:snapToGrid/>
              <w:spacing w:line="200" w:lineRule="exact"/>
              <w:ind w:right="-90" w:rightChars="-43"/>
              <w:jc w:val="center"/>
              <w:outlineLvl w:val="9"/>
              <w:rPr>
                <w:rFonts w:ascii="Times New Roman"/>
                <w:bCs/>
                <w:sz w:val="18"/>
                <w:szCs w:val="18"/>
              </w:rPr>
            </w:pPr>
            <w:bookmarkStart w:id="53" w:name="_Toc110602324"/>
            <w:bookmarkStart w:id="54" w:name="_Toc110600279"/>
            <w:r>
              <w:rPr>
                <w:rFonts w:ascii="Times New Roman"/>
                <w:bCs/>
                <w:sz w:val="18"/>
                <w:szCs w:val="18"/>
              </w:rPr>
              <w:t>60</w:t>
            </w:r>
            <w:bookmarkEnd w:id="53"/>
            <w:bookmarkEnd w:id="54"/>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80</w:t>
            </w:r>
          </w:p>
        </w:tc>
        <w:tc>
          <w:tcPr>
            <w:tcW w:w="781" w:type="dxa"/>
            <w:vAlign w:val="center"/>
          </w:tcPr>
          <w:p>
            <w:pPr>
              <w:widowControl w:val="0"/>
              <w:adjustRightInd/>
              <w:snapToGrid/>
              <w:spacing w:line="200" w:lineRule="exact"/>
              <w:jc w:val="center"/>
              <w:outlineLvl w:val="9"/>
              <w:rPr>
                <w:rFonts w:ascii="Times New Roman"/>
                <w:bCs/>
                <w:sz w:val="18"/>
                <w:szCs w:val="18"/>
              </w:rPr>
            </w:pPr>
            <w:bookmarkStart w:id="55" w:name="_Toc110602325"/>
            <w:bookmarkStart w:id="56" w:name="_Toc110600280"/>
            <w:r>
              <w:rPr>
                <w:rFonts w:ascii="Times New Roman"/>
                <w:bCs/>
                <w:sz w:val="18"/>
                <w:szCs w:val="18"/>
              </w:rPr>
              <w:t>120</w:t>
            </w:r>
            <w:bookmarkEnd w:id="55"/>
            <w:bookmarkEnd w:id="56"/>
          </w:p>
        </w:tc>
        <w:tc>
          <w:tcPr>
            <w:tcW w:w="781" w:type="dxa"/>
            <w:vAlign w:val="center"/>
          </w:tcPr>
          <w:p>
            <w:pPr>
              <w:widowControl w:val="0"/>
              <w:adjustRightInd/>
              <w:snapToGrid/>
              <w:spacing w:line="200" w:lineRule="exact"/>
              <w:jc w:val="center"/>
              <w:outlineLvl w:val="9"/>
              <w:rPr>
                <w:rFonts w:ascii="Times New Roman"/>
                <w:bCs/>
                <w:sz w:val="18"/>
                <w:szCs w:val="18"/>
              </w:rPr>
            </w:pPr>
            <w:bookmarkStart w:id="57" w:name="_Toc110600281"/>
            <w:bookmarkStart w:id="58" w:name="_Toc110602326"/>
            <w:r>
              <w:rPr>
                <w:rFonts w:ascii="Times New Roman"/>
                <w:bCs/>
                <w:sz w:val="18"/>
                <w:szCs w:val="18"/>
              </w:rPr>
              <w:t>180</w:t>
            </w:r>
            <w:bookmarkEnd w:id="57"/>
            <w:bookmarkEnd w:id="58"/>
          </w:p>
        </w:tc>
        <w:tc>
          <w:tcPr>
            <w:tcW w:w="781" w:type="dxa"/>
            <w:vAlign w:val="center"/>
          </w:tcPr>
          <w:p>
            <w:pPr>
              <w:widowControl w:val="0"/>
              <w:adjustRightInd/>
              <w:snapToGrid/>
              <w:spacing w:line="200" w:lineRule="exact"/>
              <w:jc w:val="center"/>
              <w:outlineLvl w:val="9"/>
              <w:rPr>
                <w:rFonts w:ascii="Times New Roman"/>
                <w:bCs/>
                <w:sz w:val="18"/>
                <w:szCs w:val="18"/>
              </w:rPr>
            </w:pPr>
            <w:bookmarkStart w:id="59" w:name="_Toc110602327"/>
            <w:bookmarkStart w:id="60" w:name="_Toc110600282"/>
            <w:r>
              <w:rPr>
                <w:rFonts w:ascii="Times New Roman"/>
                <w:bCs/>
                <w:sz w:val="18"/>
                <w:szCs w:val="18"/>
              </w:rPr>
              <w:t>240</w:t>
            </w:r>
            <w:bookmarkEnd w:id="59"/>
            <w:bookmarkEnd w:id="60"/>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2409" w:type="dxa"/>
            <w:gridSpan w:val="2"/>
            <w:vAlign w:val="center"/>
          </w:tcPr>
          <w:p>
            <w:pPr>
              <w:spacing w:line="240" w:lineRule="auto"/>
              <w:jc w:val="center"/>
              <w:rPr>
                <w:rFonts w:ascii="Times New Roman" w:eastAsia="宋体"/>
                <w:sz w:val="18"/>
                <w:szCs w:val="18"/>
              </w:rPr>
            </w:pPr>
            <w:r>
              <w:rPr>
                <w:rFonts w:ascii="Times New Roman" w:eastAsia="宋体"/>
                <w:sz w:val="18"/>
                <w:szCs w:val="18"/>
              </w:rPr>
              <w:t>烘干中心占地面积（㎡）</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720</w:t>
            </w:r>
          </w:p>
        </w:tc>
        <w:tc>
          <w:tcPr>
            <w:tcW w:w="781" w:type="dxa"/>
            <w:vAlign w:val="center"/>
          </w:tcPr>
          <w:p>
            <w:pPr>
              <w:widowControl w:val="0"/>
              <w:adjustRightInd/>
              <w:snapToGrid/>
              <w:spacing w:line="200" w:lineRule="exact"/>
              <w:ind w:right="-90" w:rightChars="-43"/>
              <w:jc w:val="center"/>
              <w:outlineLvl w:val="9"/>
              <w:rPr>
                <w:rFonts w:ascii="Times New Roman"/>
                <w:bCs/>
                <w:sz w:val="18"/>
                <w:szCs w:val="18"/>
              </w:rPr>
            </w:pPr>
            <w:r>
              <w:rPr>
                <w:rFonts w:ascii="Times New Roman"/>
                <w:bCs/>
                <w:sz w:val="18"/>
                <w:szCs w:val="18"/>
              </w:rPr>
              <w:t>738</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787.2</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922.5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1291.5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1476</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1771.2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2409" w:type="dxa"/>
            <w:gridSpan w:val="2"/>
            <w:vAlign w:val="center"/>
          </w:tcPr>
          <w:p>
            <w:pPr>
              <w:spacing w:line="240" w:lineRule="auto"/>
              <w:jc w:val="center"/>
              <w:rPr>
                <w:rFonts w:ascii="Times New Roman" w:eastAsia="宋体"/>
                <w:sz w:val="18"/>
                <w:szCs w:val="18"/>
              </w:rPr>
            </w:pPr>
            <w:r>
              <w:rPr>
                <w:rFonts w:ascii="Times New Roman" w:eastAsia="宋体"/>
                <w:sz w:val="18"/>
                <w:szCs w:val="18"/>
              </w:rPr>
              <w:t>烘干机（塔）房面积（㎡）</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540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540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576</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675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945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1080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2409" w:type="dxa"/>
            <w:gridSpan w:val="2"/>
            <w:vAlign w:val="center"/>
          </w:tcPr>
          <w:p>
            <w:pPr>
              <w:spacing w:line="240" w:lineRule="auto"/>
              <w:jc w:val="center"/>
              <w:rPr>
                <w:rFonts w:ascii="Times New Roman" w:eastAsia="宋体"/>
                <w:sz w:val="18"/>
                <w:szCs w:val="18"/>
              </w:rPr>
            </w:pPr>
            <w:r>
              <w:rPr>
                <w:rFonts w:ascii="Times New Roman" w:eastAsia="宋体"/>
                <w:sz w:val="18"/>
                <w:szCs w:val="18"/>
              </w:rPr>
              <w:t>除尘室面积（㎡）</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39.6</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59.4</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79.2</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118.8</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178.2</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231</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Merge w:val="restart"/>
            <w:vAlign w:val="center"/>
          </w:tcPr>
          <w:p>
            <w:pPr>
              <w:spacing w:line="240" w:lineRule="auto"/>
              <w:jc w:val="center"/>
              <w:rPr>
                <w:rFonts w:ascii="Times New Roman" w:eastAsia="宋体"/>
                <w:sz w:val="18"/>
                <w:szCs w:val="18"/>
              </w:rPr>
            </w:pPr>
          </w:p>
        </w:tc>
        <w:tc>
          <w:tcPr>
            <w:tcW w:w="850"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装机</w:t>
            </w:r>
          </w:p>
          <w:p>
            <w:pPr>
              <w:spacing w:line="240" w:lineRule="auto"/>
              <w:jc w:val="center"/>
              <w:rPr>
                <w:rFonts w:ascii="Times New Roman" w:eastAsia="宋体"/>
                <w:sz w:val="18"/>
                <w:szCs w:val="18"/>
              </w:rPr>
            </w:pPr>
            <w:r>
              <w:rPr>
                <w:rFonts w:ascii="Times New Roman" w:eastAsia="宋体"/>
                <w:sz w:val="18"/>
                <w:szCs w:val="18"/>
              </w:rPr>
              <w:t>功率</w:t>
            </w:r>
          </w:p>
          <w:p>
            <w:pPr>
              <w:spacing w:line="240" w:lineRule="auto"/>
              <w:jc w:val="center"/>
              <w:rPr>
                <w:rFonts w:ascii="Times New Roman" w:eastAsia="宋体"/>
                <w:sz w:val="18"/>
                <w:szCs w:val="18"/>
              </w:rPr>
            </w:pPr>
            <w:r>
              <w:rPr>
                <w:rFonts w:ascii="Times New Roman" w:eastAsia="宋体"/>
                <w:sz w:val="18"/>
                <w:szCs w:val="18"/>
              </w:rPr>
              <w:t>（kW</w:t>
            </w:r>
            <w:r>
              <w:rPr>
                <w:rFonts w:hint="eastAsia" w:ascii="Times New Roman" w:eastAsia="宋体"/>
                <w:sz w:val="18"/>
                <w:szCs w:val="18"/>
              </w:rPr>
              <w:t>）</w:t>
            </w:r>
          </w:p>
        </w:tc>
        <w:tc>
          <w:tcPr>
            <w:tcW w:w="1559" w:type="dxa"/>
            <w:vAlign w:val="center"/>
          </w:tcPr>
          <w:p>
            <w:pPr>
              <w:spacing w:line="240" w:lineRule="auto"/>
              <w:jc w:val="center"/>
              <w:rPr>
                <w:rFonts w:ascii="Times New Roman" w:eastAsia="宋体"/>
                <w:sz w:val="18"/>
                <w:szCs w:val="18"/>
              </w:rPr>
            </w:pPr>
            <w:r>
              <w:rPr>
                <w:rFonts w:hint="eastAsia" w:ascii="Times New Roman" w:eastAsia="宋体"/>
                <w:sz w:val="18"/>
                <w:szCs w:val="18"/>
              </w:rPr>
              <w:t>生物质</w:t>
            </w:r>
            <w:r>
              <w:rPr>
                <w:rFonts w:ascii="Times New Roman" w:eastAsia="宋体"/>
                <w:sz w:val="18"/>
                <w:szCs w:val="18"/>
              </w:rPr>
              <w:t>燃料</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≤105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≤140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≤170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≤240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≤280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Merge w:val="continue"/>
            <w:vAlign w:val="center"/>
          </w:tcPr>
          <w:p>
            <w:pPr>
              <w:spacing w:line="240" w:lineRule="auto"/>
              <w:jc w:val="center"/>
              <w:rPr>
                <w:rFonts w:ascii="Times New Roman" w:eastAsia="宋体"/>
                <w:sz w:val="18"/>
                <w:szCs w:val="18"/>
              </w:rPr>
            </w:pPr>
          </w:p>
        </w:tc>
        <w:tc>
          <w:tcPr>
            <w:tcW w:w="850" w:type="dxa"/>
            <w:vMerge w:val="continue"/>
            <w:vAlign w:val="center"/>
          </w:tcPr>
          <w:p>
            <w:pPr>
              <w:spacing w:line="240" w:lineRule="auto"/>
              <w:jc w:val="center"/>
              <w:rPr>
                <w:rFonts w:ascii="Times New Roman" w:eastAsia="宋体"/>
                <w:sz w:val="18"/>
                <w:szCs w:val="18"/>
              </w:rPr>
            </w:pPr>
          </w:p>
        </w:tc>
        <w:tc>
          <w:tcPr>
            <w:tcW w:w="1559" w:type="dxa"/>
            <w:vAlign w:val="center"/>
          </w:tcPr>
          <w:p>
            <w:pPr>
              <w:spacing w:line="240" w:lineRule="auto"/>
              <w:jc w:val="center"/>
              <w:rPr>
                <w:rFonts w:ascii="Times New Roman" w:eastAsia="宋体"/>
                <w:sz w:val="18"/>
                <w:szCs w:val="18"/>
              </w:rPr>
            </w:pPr>
            <w:r>
              <w:rPr>
                <w:rFonts w:hint="eastAsia" w:ascii="Times New Roman" w:eastAsia="宋体"/>
                <w:sz w:val="18"/>
                <w:szCs w:val="18"/>
              </w:rPr>
              <w:t>燃气/燃油</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≤85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≤128</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≤152</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≤220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≤255</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850" w:type="dxa"/>
            <w:vMerge w:val="restart"/>
            <w:vAlign w:val="center"/>
          </w:tcPr>
          <w:p>
            <w:pPr>
              <w:spacing w:line="240" w:lineRule="auto"/>
              <w:jc w:val="center"/>
              <w:rPr>
                <w:rFonts w:ascii="Times New Roman" w:eastAsia="宋体"/>
                <w:sz w:val="18"/>
                <w:szCs w:val="18"/>
              </w:rPr>
            </w:pPr>
            <w:bookmarkStart w:id="61" w:name="_Toc110602335"/>
            <w:bookmarkStart w:id="62" w:name="_Toc110600290"/>
            <w:r>
              <w:rPr>
                <w:rFonts w:ascii="Times New Roman" w:eastAsia="宋体"/>
                <w:sz w:val="18"/>
                <w:szCs w:val="18"/>
              </w:rPr>
              <w:t>服务面积</w:t>
            </w:r>
            <w:bookmarkEnd w:id="61"/>
            <w:bookmarkEnd w:id="62"/>
            <w:r>
              <w:rPr>
                <w:rFonts w:ascii="Times New Roman" w:eastAsia="宋体"/>
                <w:sz w:val="18"/>
                <w:szCs w:val="18"/>
              </w:rPr>
              <w:t>(亩)</w:t>
            </w:r>
          </w:p>
        </w:tc>
        <w:tc>
          <w:tcPr>
            <w:tcW w:w="1559" w:type="dxa"/>
            <w:vAlign w:val="center"/>
          </w:tcPr>
          <w:p>
            <w:pPr>
              <w:spacing w:line="240" w:lineRule="auto"/>
              <w:jc w:val="center"/>
              <w:rPr>
                <w:rFonts w:ascii="Times New Roman" w:eastAsia="宋体"/>
                <w:sz w:val="18"/>
                <w:szCs w:val="18"/>
              </w:rPr>
            </w:pPr>
            <w:r>
              <w:rPr>
                <w:rFonts w:ascii="Times New Roman" w:eastAsia="宋体"/>
                <w:sz w:val="18"/>
                <w:szCs w:val="18"/>
              </w:rPr>
              <w:t>早稻</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1600~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3200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2400~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4800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3200~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6400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4800~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9600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7200~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14400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9600~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19200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12000~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1" w:type="dxa"/>
            <w:vMerge w:val="continue"/>
            <w:vAlign w:val="center"/>
          </w:tcPr>
          <w:p>
            <w:pPr>
              <w:spacing w:line="240" w:lineRule="auto"/>
              <w:jc w:val="center"/>
              <w:rPr>
                <w:rFonts w:ascii="Times New Roman" w:eastAsia="宋体"/>
                <w:sz w:val="18"/>
                <w:szCs w:val="18"/>
              </w:rPr>
            </w:pPr>
          </w:p>
        </w:tc>
        <w:tc>
          <w:tcPr>
            <w:tcW w:w="850" w:type="dxa"/>
            <w:vMerge w:val="continue"/>
            <w:vAlign w:val="center"/>
          </w:tcPr>
          <w:p>
            <w:pPr>
              <w:spacing w:line="240" w:lineRule="auto"/>
              <w:jc w:val="center"/>
              <w:rPr>
                <w:rFonts w:ascii="Times New Roman" w:eastAsia="宋体"/>
                <w:sz w:val="18"/>
                <w:szCs w:val="18"/>
              </w:rPr>
            </w:pPr>
          </w:p>
        </w:tc>
        <w:tc>
          <w:tcPr>
            <w:tcW w:w="1559" w:type="dxa"/>
            <w:vAlign w:val="center"/>
          </w:tcPr>
          <w:p>
            <w:pPr>
              <w:spacing w:line="240" w:lineRule="auto"/>
              <w:jc w:val="center"/>
              <w:rPr>
                <w:rFonts w:ascii="Times New Roman" w:eastAsia="宋体"/>
                <w:sz w:val="18"/>
                <w:szCs w:val="18"/>
              </w:rPr>
            </w:pPr>
            <w:r>
              <w:rPr>
                <w:rFonts w:ascii="Times New Roman" w:eastAsia="宋体"/>
                <w:sz w:val="18"/>
                <w:szCs w:val="18"/>
              </w:rPr>
              <w:t>晚稻</w:t>
            </w:r>
          </w:p>
        </w:tc>
        <w:tc>
          <w:tcPr>
            <w:tcW w:w="780"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3200~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5600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4800~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8400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6400~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11200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9600~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16800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14400~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25200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19200~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33600</w:t>
            </w:r>
          </w:p>
        </w:tc>
        <w:tc>
          <w:tcPr>
            <w:tcW w:w="781" w:type="dxa"/>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24000~</w:t>
            </w:r>
          </w:p>
          <w:p>
            <w:pPr>
              <w:widowControl w:val="0"/>
              <w:adjustRightInd/>
              <w:snapToGrid/>
              <w:spacing w:line="200" w:lineRule="exact"/>
              <w:jc w:val="center"/>
              <w:outlineLvl w:val="9"/>
              <w:rPr>
                <w:rFonts w:ascii="Times New Roman"/>
                <w:bCs/>
                <w:sz w:val="18"/>
                <w:szCs w:val="18"/>
              </w:rPr>
            </w:pPr>
            <w:r>
              <w:rPr>
                <w:rFonts w:ascii="Times New Roman"/>
                <w:bCs/>
                <w:sz w:val="18"/>
                <w:szCs w:val="18"/>
              </w:rPr>
              <w:t>42000</w:t>
            </w:r>
          </w:p>
        </w:tc>
      </w:tr>
    </w:tbl>
    <w:p>
      <w:pPr>
        <w:pStyle w:val="27"/>
        <w:ind w:firstLine="361"/>
        <w:rPr>
          <w:rFonts w:ascii="Times New Roman" w:hAnsi="Times New Roman" w:eastAsia="仿宋"/>
          <w:b/>
          <w:sz w:val="18"/>
          <w:szCs w:val="18"/>
        </w:rPr>
      </w:pPr>
      <w:bookmarkStart w:id="63" w:name="_Toc110600301"/>
      <w:bookmarkStart w:id="64" w:name="_Toc110602346"/>
      <w:r>
        <w:rPr>
          <w:rFonts w:ascii="Times New Roman" w:hAnsi="Times New Roman" w:eastAsia="仿宋"/>
          <w:b/>
          <w:sz w:val="18"/>
          <w:szCs w:val="18"/>
        </w:rPr>
        <w:t>注：1.服务面积是根据稻谷烘干中心规模与稻谷烘干作业时间估算,稻谷作业时间分早稻作业时间和晚稻作业时间。</w:t>
      </w:r>
    </w:p>
    <w:p>
      <w:pPr>
        <w:pStyle w:val="27"/>
        <w:ind w:firstLine="722" w:firstLineChars="400"/>
        <w:rPr>
          <w:rFonts w:ascii="Times New Roman" w:hAnsi="Times New Roman" w:eastAsia="仿宋"/>
          <w:b/>
          <w:sz w:val="18"/>
          <w:szCs w:val="18"/>
        </w:rPr>
      </w:pPr>
      <w:r>
        <w:rPr>
          <w:rFonts w:ascii="Times New Roman" w:hAnsi="Times New Roman" w:eastAsia="仿宋"/>
          <w:b/>
          <w:sz w:val="18"/>
          <w:szCs w:val="18"/>
        </w:rPr>
        <w:t>2.早稻作业时间为10-20天，晚稻作业时间为20-35天。</w:t>
      </w:r>
    </w:p>
    <w:p>
      <w:pPr>
        <w:pStyle w:val="28"/>
        <w:numPr>
          <w:ilvl w:val="1"/>
          <w:numId w:val="3"/>
        </w:numPr>
        <w:spacing w:before="156" w:after="156" w:line="360" w:lineRule="exact"/>
        <w:rPr>
          <w:rFonts w:ascii="Times New Roman"/>
        </w:rPr>
      </w:pPr>
      <w:r>
        <w:rPr>
          <w:rFonts w:ascii="Times New Roman"/>
        </w:rPr>
        <w:t>主要烘干设施建筑结构</w:t>
      </w:r>
    </w:p>
    <w:p>
      <w:pPr>
        <w:pStyle w:val="28"/>
        <w:spacing w:before="156" w:after="156" w:line="360" w:lineRule="exact"/>
        <w:rPr>
          <w:rFonts w:ascii="Times New Roman" w:eastAsia="宋体"/>
          <w:b/>
          <w:szCs w:val="24"/>
        </w:rPr>
      </w:pPr>
      <w:r>
        <w:rPr>
          <w:rFonts w:ascii="Times New Roman" w:eastAsia="宋体"/>
          <w:b/>
          <w:szCs w:val="24"/>
        </w:rPr>
        <w:t>5.2.1 烘干机（塔）房</w:t>
      </w:r>
    </w:p>
    <w:p>
      <w:pPr>
        <w:pStyle w:val="27"/>
        <w:rPr>
          <w:rFonts w:ascii="Times New Roman" w:hAnsi="Times New Roman"/>
        </w:rPr>
      </w:pPr>
      <w:r>
        <w:rPr>
          <w:rFonts w:ascii="Times New Roman" w:hAnsi="Times New Roman"/>
        </w:rPr>
        <w:t>烘干机（塔）房建筑物宜采用单层钢柱排架结构，轻钢屋架，夹心彩钢板墙面，台风及雨水较多地区可采用混凝土框架结构。循环式烘干机房进深宜为18米（单台设备日处理量≤15吨的可为15米），排架柱距宜为6米，层高与烘干设备高度差不小于1.5米，进出口高度及宽度不小于4.0米。</w:t>
      </w:r>
    </w:p>
    <w:p>
      <w:pPr>
        <w:pStyle w:val="28"/>
        <w:spacing w:before="156" w:after="156" w:line="360" w:lineRule="exact"/>
        <w:rPr>
          <w:rFonts w:ascii="Times New Roman" w:eastAsia="宋体"/>
          <w:b/>
          <w:szCs w:val="24"/>
        </w:rPr>
      </w:pPr>
      <w:r>
        <w:rPr>
          <w:rFonts w:ascii="Times New Roman" w:eastAsia="宋体"/>
          <w:b/>
          <w:szCs w:val="24"/>
        </w:rPr>
        <w:t>5.2.2 除尘室</w:t>
      </w:r>
    </w:p>
    <w:p>
      <w:pPr>
        <w:pStyle w:val="27"/>
        <w:rPr>
          <w:rFonts w:ascii="Times New Roman" w:hAnsi="Times New Roman"/>
        </w:rPr>
      </w:pPr>
      <w:r>
        <w:rPr>
          <w:rFonts w:ascii="Times New Roman" w:hAnsi="Times New Roman"/>
        </w:rPr>
        <w:t>除尘室宜采用单层钢柱排架结构，轻钢屋架，夹心彩钢板墙面，单级沉降室径深2000-2200mm。</w:t>
      </w:r>
    </w:p>
    <w:p>
      <w:pPr>
        <w:pStyle w:val="28"/>
        <w:numPr>
          <w:ilvl w:val="1"/>
          <w:numId w:val="3"/>
        </w:numPr>
        <w:spacing w:before="156" w:after="156" w:line="360" w:lineRule="exact"/>
        <w:rPr>
          <w:rFonts w:ascii="Times New Roman"/>
        </w:rPr>
      </w:pPr>
      <w:r>
        <w:rPr>
          <w:rFonts w:ascii="Times New Roman"/>
        </w:rPr>
        <w:t>主要性能指标</w:t>
      </w:r>
    </w:p>
    <w:p>
      <w:pPr>
        <w:pStyle w:val="28"/>
        <w:spacing w:before="156" w:after="156" w:line="360" w:lineRule="exact"/>
        <w:rPr>
          <w:rFonts w:ascii="Times New Roman" w:eastAsia="宋体"/>
          <w:szCs w:val="24"/>
        </w:rPr>
      </w:pPr>
      <w:r>
        <w:rPr>
          <w:rFonts w:ascii="Times New Roman" w:eastAsia="宋体"/>
          <w:b/>
          <w:szCs w:val="24"/>
        </w:rPr>
        <w:t>5.3.1 原粮稻谷</w:t>
      </w:r>
    </w:p>
    <w:p>
      <w:pPr>
        <w:pStyle w:val="27"/>
        <w:rPr>
          <w:rFonts w:ascii="Times New Roman" w:hAnsi="Times New Roman"/>
        </w:rPr>
      </w:pPr>
      <w:r>
        <w:rPr>
          <w:rFonts w:ascii="Times New Roman" w:hAnsi="Times New Roman"/>
        </w:rPr>
        <w:t>稻谷水分16%～30%，其他质量指标应符合GB 1350或GB/T 17891规定。</w:t>
      </w:r>
    </w:p>
    <w:p>
      <w:pPr>
        <w:pStyle w:val="27"/>
        <w:rPr>
          <w:rFonts w:ascii="Times New Roman" w:hAnsi="Times New Roman"/>
        </w:rPr>
      </w:pPr>
      <w:r>
        <w:rPr>
          <w:rFonts w:ascii="Times New Roman" w:hAnsi="Times New Roman"/>
        </w:rPr>
        <w:t>不同水分稻谷应分别储存，分别进行干燥，同一批干燥的稻谷水分不均匀度不大于2%。</w:t>
      </w:r>
    </w:p>
    <w:p>
      <w:pPr>
        <w:pStyle w:val="27"/>
        <w:rPr>
          <w:rFonts w:ascii="Times New Roman" w:hAnsi="Times New Roman"/>
        </w:rPr>
      </w:pPr>
      <w:r>
        <w:rPr>
          <w:rFonts w:ascii="Times New Roman" w:hAnsi="Times New Roman"/>
        </w:rPr>
        <w:t>干燥前需进行除芒（长芒稻谷）、清选，带芒率不大于15%，含杂率不大于2%，不得有长茎秆、麻袋绳、聚乙烯膜等异物。</w:t>
      </w:r>
    </w:p>
    <w:p>
      <w:pPr>
        <w:pStyle w:val="28"/>
        <w:spacing w:before="156" w:after="156" w:line="360" w:lineRule="exact"/>
        <w:rPr>
          <w:rFonts w:ascii="Times New Roman" w:eastAsia="宋体"/>
          <w:b/>
          <w:szCs w:val="24"/>
        </w:rPr>
      </w:pPr>
      <w:r>
        <w:rPr>
          <w:rFonts w:ascii="Times New Roman" w:eastAsia="宋体"/>
          <w:b/>
          <w:szCs w:val="24"/>
        </w:rPr>
        <w:t>5.3.2 主要性能指标。</w:t>
      </w:r>
    </w:p>
    <w:p>
      <w:pPr>
        <w:pStyle w:val="27"/>
        <w:ind w:firstLine="525" w:firstLineChars="250"/>
        <w:rPr>
          <w:rFonts w:ascii="Times New Roman" w:hAnsi="Times New Roman"/>
        </w:rPr>
      </w:pPr>
      <w:r>
        <w:rPr>
          <w:rFonts w:ascii="Times New Roman" w:hAnsi="Times New Roman"/>
        </w:rPr>
        <w:t>主要性能指标应符合JB/T 13628规定，见表3。</w:t>
      </w:r>
    </w:p>
    <w:p>
      <w:pPr>
        <w:widowControl w:val="0"/>
        <w:autoSpaceDE w:val="0"/>
        <w:autoSpaceDN w:val="0"/>
        <w:snapToGrid/>
        <w:spacing w:line="240" w:lineRule="auto"/>
        <w:jc w:val="center"/>
        <w:outlineLvl w:val="9"/>
        <w:rPr>
          <w:rFonts w:ascii="Times New Roman"/>
        </w:rPr>
      </w:pPr>
      <w:r>
        <w:rPr>
          <w:rFonts w:ascii="Times New Roman"/>
        </w:rPr>
        <w:t>表3  烘干中心主要性能指标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2197"/>
        <w:gridCol w:w="71"/>
        <w:gridCol w:w="2127"/>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b/>
                <w:sz w:val="18"/>
                <w:szCs w:val="18"/>
              </w:rPr>
            </w:pPr>
            <w:r>
              <w:rPr>
                <w:rFonts w:ascii="Times New Roman" w:eastAsia="宋体"/>
                <w:b/>
                <w:sz w:val="18"/>
                <w:szCs w:val="18"/>
              </w:rPr>
              <w:t>序号</w:t>
            </w:r>
          </w:p>
        </w:tc>
        <w:tc>
          <w:tcPr>
            <w:tcW w:w="4395" w:type="dxa"/>
            <w:gridSpan w:val="3"/>
            <w:vAlign w:val="center"/>
          </w:tcPr>
          <w:p>
            <w:pPr>
              <w:spacing w:line="240" w:lineRule="auto"/>
              <w:jc w:val="center"/>
              <w:rPr>
                <w:rFonts w:ascii="Times New Roman" w:eastAsia="宋体"/>
                <w:b/>
                <w:sz w:val="18"/>
                <w:szCs w:val="18"/>
              </w:rPr>
            </w:pPr>
            <w:r>
              <w:rPr>
                <w:rFonts w:ascii="Times New Roman" w:eastAsia="宋体"/>
                <w:b/>
                <w:sz w:val="18"/>
                <w:szCs w:val="18"/>
              </w:rPr>
              <w:t>指标名称</w:t>
            </w:r>
          </w:p>
        </w:tc>
        <w:tc>
          <w:tcPr>
            <w:tcW w:w="3339" w:type="dxa"/>
            <w:vAlign w:val="center"/>
          </w:tcPr>
          <w:p>
            <w:pPr>
              <w:spacing w:line="240" w:lineRule="auto"/>
              <w:jc w:val="center"/>
              <w:rPr>
                <w:rFonts w:ascii="Times New Roman" w:eastAsia="宋体"/>
                <w:b/>
                <w:sz w:val="18"/>
                <w:szCs w:val="18"/>
              </w:rPr>
            </w:pPr>
            <w:r>
              <w:rPr>
                <w:rFonts w:ascii="Times New Roman" w:eastAsia="宋体"/>
                <w:b/>
                <w:sz w:val="18"/>
                <w:szCs w:val="18"/>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处理量 （t/批）</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达到规定的规模要求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单位耗热量 kJ/kg</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直接加热≤6800；间接加热≤9520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单位耗电量（电加热） kJ/kg</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≤企业明示值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2268" w:type="dxa"/>
            <w:gridSpan w:val="2"/>
            <w:vMerge w:val="restart"/>
            <w:vAlign w:val="center"/>
          </w:tcPr>
          <w:p>
            <w:pPr>
              <w:spacing w:line="240" w:lineRule="auto"/>
              <w:rPr>
                <w:rFonts w:ascii="Times New Roman" w:eastAsia="宋体"/>
                <w:sz w:val="18"/>
                <w:szCs w:val="18"/>
              </w:rPr>
            </w:pPr>
            <w:r>
              <w:rPr>
                <w:rFonts w:ascii="Times New Roman" w:eastAsia="宋体"/>
                <w:sz w:val="18"/>
                <w:szCs w:val="18"/>
              </w:rPr>
              <w:t>烘干不均匀度 %</w:t>
            </w:r>
          </w:p>
        </w:tc>
        <w:tc>
          <w:tcPr>
            <w:tcW w:w="2127" w:type="dxa"/>
            <w:vAlign w:val="center"/>
          </w:tcPr>
          <w:p>
            <w:pPr>
              <w:spacing w:line="240" w:lineRule="auto"/>
              <w:jc w:val="both"/>
              <w:rPr>
                <w:rFonts w:ascii="Times New Roman" w:eastAsia="宋体"/>
                <w:sz w:val="18"/>
                <w:szCs w:val="18"/>
              </w:rPr>
            </w:pPr>
            <w:r>
              <w:rPr>
                <w:rFonts w:ascii="Times New Roman" w:eastAsia="宋体"/>
                <w:sz w:val="18"/>
                <w:szCs w:val="18"/>
              </w:rPr>
              <w:t>降水幅度≤5%</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continue"/>
            <w:vAlign w:val="center"/>
          </w:tcPr>
          <w:p>
            <w:pPr>
              <w:spacing w:line="240" w:lineRule="auto"/>
              <w:jc w:val="center"/>
              <w:rPr>
                <w:rFonts w:ascii="Times New Roman" w:eastAsia="宋体"/>
                <w:sz w:val="18"/>
                <w:szCs w:val="18"/>
              </w:rPr>
            </w:pPr>
          </w:p>
        </w:tc>
        <w:tc>
          <w:tcPr>
            <w:tcW w:w="2268" w:type="dxa"/>
            <w:gridSpan w:val="2"/>
            <w:vMerge w:val="continue"/>
            <w:vAlign w:val="center"/>
          </w:tcPr>
          <w:p>
            <w:pPr>
              <w:spacing w:line="240" w:lineRule="auto"/>
              <w:jc w:val="center"/>
              <w:rPr>
                <w:rFonts w:ascii="Times New Roman" w:eastAsia="宋体"/>
                <w:sz w:val="18"/>
                <w:szCs w:val="18"/>
              </w:rPr>
            </w:pPr>
          </w:p>
        </w:tc>
        <w:tc>
          <w:tcPr>
            <w:tcW w:w="2127" w:type="dxa"/>
            <w:vAlign w:val="center"/>
          </w:tcPr>
          <w:p>
            <w:pPr>
              <w:spacing w:line="240" w:lineRule="auto"/>
              <w:rPr>
                <w:rFonts w:ascii="Times New Roman" w:eastAsia="宋体"/>
                <w:sz w:val="18"/>
                <w:szCs w:val="18"/>
              </w:rPr>
            </w:pPr>
            <w:r>
              <w:rPr>
                <w:rFonts w:ascii="Times New Roman" w:eastAsia="宋体"/>
                <w:sz w:val="18"/>
                <w:szCs w:val="18"/>
              </w:rPr>
              <w:t>降水幅度＞5%</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热风温度波动范围 ℃</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爆腰率增值 %</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7</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破碎率增值 %</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8</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色泽、气味</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9</w:t>
            </w:r>
          </w:p>
        </w:tc>
        <w:tc>
          <w:tcPr>
            <w:tcW w:w="2197" w:type="dxa"/>
            <w:vMerge w:val="restart"/>
            <w:vAlign w:val="center"/>
          </w:tcPr>
          <w:p>
            <w:pPr>
              <w:spacing w:line="240" w:lineRule="auto"/>
              <w:rPr>
                <w:rFonts w:ascii="Times New Roman" w:eastAsia="宋体"/>
                <w:sz w:val="18"/>
                <w:szCs w:val="18"/>
              </w:rPr>
            </w:pPr>
            <w:r>
              <w:rPr>
                <w:rFonts w:ascii="Times New Roman" w:eastAsia="宋体"/>
                <w:sz w:val="18"/>
                <w:szCs w:val="18"/>
              </w:rPr>
              <w:t>发芽（生活力）率 %</w:t>
            </w:r>
          </w:p>
        </w:tc>
        <w:tc>
          <w:tcPr>
            <w:tcW w:w="2198" w:type="dxa"/>
            <w:gridSpan w:val="2"/>
            <w:vAlign w:val="center"/>
          </w:tcPr>
          <w:p>
            <w:pPr>
              <w:spacing w:line="240" w:lineRule="auto"/>
              <w:rPr>
                <w:rFonts w:ascii="Times New Roman" w:eastAsia="宋体"/>
                <w:sz w:val="18"/>
                <w:szCs w:val="18"/>
              </w:rPr>
            </w:pPr>
            <w:r>
              <w:rPr>
                <w:rFonts w:ascii="Times New Roman" w:eastAsia="宋体"/>
                <w:sz w:val="18"/>
                <w:szCs w:val="18"/>
              </w:rPr>
              <w:t>稻谷</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不得低于烘干前稻谷发芽率的90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continue"/>
            <w:vAlign w:val="center"/>
          </w:tcPr>
          <w:p>
            <w:pPr>
              <w:spacing w:line="240" w:lineRule="auto"/>
              <w:jc w:val="center"/>
              <w:rPr>
                <w:rFonts w:ascii="Times New Roman" w:eastAsia="宋体"/>
                <w:sz w:val="18"/>
                <w:szCs w:val="18"/>
              </w:rPr>
            </w:pPr>
          </w:p>
        </w:tc>
        <w:tc>
          <w:tcPr>
            <w:tcW w:w="2197" w:type="dxa"/>
            <w:vMerge w:val="continue"/>
            <w:vAlign w:val="center"/>
          </w:tcPr>
          <w:p>
            <w:pPr>
              <w:spacing w:line="240" w:lineRule="auto"/>
              <w:rPr>
                <w:rFonts w:ascii="Times New Roman" w:eastAsia="宋体"/>
                <w:sz w:val="18"/>
                <w:szCs w:val="18"/>
              </w:rPr>
            </w:pPr>
          </w:p>
        </w:tc>
        <w:tc>
          <w:tcPr>
            <w:tcW w:w="2198" w:type="dxa"/>
            <w:gridSpan w:val="2"/>
            <w:vAlign w:val="center"/>
          </w:tcPr>
          <w:p>
            <w:pPr>
              <w:spacing w:line="240" w:lineRule="auto"/>
              <w:rPr>
                <w:rFonts w:ascii="Times New Roman" w:eastAsia="宋体"/>
                <w:sz w:val="18"/>
                <w:szCs w:val="18"/>
              </w:rPr>
            </w:pPr>
            <w:r>
              <w:rPr>
                <w:rFonts w:ascii="Times New Roman" w:eastAsia="宋体"/>
                <w:sz w:val="18"/>
                <w:szCs w:val="18"/>
              </w:rPr>
              <w:t>稻谷种子</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不得降低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10</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苯并（a）芘增加值 （μg/kg）</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11</w:t>
            </w:r>
          </w:p>
        </w:tc>
        <w:tc>
          <w:tcPr>
            <w:tcW w:w="4395" w:type="dxa"/>
            <w:gridSpan w:val="3"/>
            <w:vMerge w:val="restart"/>
            <w:vAlign w:val="center"/>
          </w:tcPr>
          <w:p>
            <w:pPr>
              <w:spacing w:line="240" w:lineRule="auto"/>
              <w:rPr>
                <w:rFonts w:ascii="Times New Roman" w:eastAsia="宋体"/>
                <w:sz w:val="18"/>
                <w:szCs w:val="18"/>
              </w:rPr>
            </w:pPr>
            <w:r>
              <w:rPr>
                <w:rFonts w:ascii="Times New Roman" w:eastAsia="宋体"/>
                <w:sz w:val="18"/>
                <w:szCs w:val="18"/>
              </w:rPr>
              <w:t>出机粮食温度 ℃</w:t>
            </w:r>
          </w:p>
        </w:tc>
        <w:tc>
          <w:tcPr>
            <w:tcW w:w="3339" w:type="dxa"/>
            <w:vAlign w:val="center"/>
          </w:tcPr>
          <w:p>
            <w:pPr>
              <w:spacing w:line="240" w:lineRule="auto"/>
              <w:jc w:val="center"/>
              <w:rPr>
                <w:rFonts w:ascii="Times New Roman" w:eastAsia="宋体"/>
                <w:sz w:val="18"/>
                <w:szCs w:val="18"/>
              </w:rPr>
            </w:pPr>
            <w:r>
              <w:rPr>
                <w:rFonts w:ascii="Times New Roman"/>
                <w:sz w:val="18"/>
                <w:szCs w:val="18"/>
              </w:rPr>
              <w:t>≤</w:t>
            </w:r>
            <w:r>
              <w:rPr>
                <w:rFonts w:ascii="Times New Roman" w:eastAsiaTheme="minorEastAsia"/>
                <w:sz w:val="18"/>
                <w:szCs w:val="18"/>
              </w:rPr>
              <w:t>8（环境温度＜0℃）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continue"/>
            <w:vAlign w:val="center"/>
          </w:tcPr>
          <w:p>
            <w:pPr>
              <w:spacing w:line="240" w:lineRule="auto"/>
              <w:jc w:val="center"/>
              <w:rPr>
                <w:rFonts w:ascii="Times New Roman" w:eastAsia="宋体"/>
                <w:sz w:val="18"/>
                <w:szCs w:val="18"/>
              </w:rPr>
            </w:pPr>
          </w:p>
        </w:tc>
        <w:tc>
          <w:tcPr>
            <w:tcW w:w="4395" w:type="dxa"/>
            <w:gridSpan w:val="3"/>
            <w:vMerge w:val="continue"/>
            <w:vAlign w:val="center"/>
          </w:tcPr>
          <w:p>
            <w:pPr>
              <w:spacing w:line="240" w:lineRule="auto"/>
              <w:rPr>
                <w:rFonts w:ascii="Times New Roman" w:eastAsia="宋体"/>
                <w:sz w:val="18"/>
                <w:szCs w:val="18"/>
              </w:rPr>
            </w:pP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≤环境温度+8（环境温度≥0℃）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12</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 xml:space="preserve">噪声 </w:t>
            </w:r>
            <w:r>
              <w:rPr>
                <w:rFonts w:ascii="Times New Roman" w:eastAsiaTheme="minorEastAsia"/>
                <w:sz w:val="18"/>
                <w:szCs w:val="18"/>
              </w:rPr>
              <w:t>dB(A)</w:t>
            </w:r>
          </w:p>
        </w:tc>
        <w:tc>
          <w:tcPr>
            <w:tcW w:w="3339" w:type="dxa"/>
            <w:vAlign w:val="center"/>
          </w:tcPr>
          <w:p>
            <w:pPr>
              <w:spacing w:line="240" w:lineRule="auto"/>
              <w:jc w:val="center"/>
              <w:rPr>
                <w:rFonts w:ascii="Times New Roman" w:eastAsiaTheme="minorEastAsia"/>
                <w:sz w:val="18"/>
                <w:szCs w:val="18"/>
              </w:rPr>
            </w:pPr>
            <w:r>
              <w:rPr>
                <w:rFonts w:ascii="Times New Roman"/>
                <w:sz w:val="18"/>
                <w:szCs w:val="18"/>
              </w:rPr>
              <w:t>≤</w:t>
            </w:r>
            <w:r>
              <w:rPr>
                <w:rFonts w:ascii="Times New Roman" w:eastAsiaTheme="minorEastAsia"/>
                <w:sz w:val="18"/>
                <w:szCs w:val="18"/>
              </w:rPr>
              <w:t xml:space="preserve">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13</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粉尘浓度 （</w:t>
            </w:r>
            <w:r>
              <w:rPr>
                <w:rFonts w:ascii="Times New Roman" w:eastAsiaTheme="minorEastAsia"/>
                <w:sz w:val="18"/>
                <w:szCs w:val="18"/>
              </w:rPr>
              <w:t>mg/m</w:t>
            </w:r>
            <w:r>
              <w:rPr>
                <w:rFonts w:ascii="Times New Roman" w:eastAsiaTheme="minorEastAsia"/>
                <w:sz w:val="18"/>
                <w:szCs w:val="18"/>
                <w:vertAlign w:val="superscript"/>
              </w:rPr>
              <w:t>3</w:t>
            </w:r>
            <w:r>
              <w:rPr>
                <w:rFonts w:ascii="Times New Roman" w:eastAsia="宋体"/>
                <w:sz w:val="18"/>
                <w:szCs w:val="18"/>
              </w:rPr>
              <w:t>）</w:t>
            </w:r>
          </w:p>
        </w:tc>
        <w:tc>
          <w:tcPr>
            <w:tcW w:w="3339" w:type="dxa"/>
            <w:vAlign w:val="center"/>
          </w:tcPr>
          <w:p>
            <w:pPr>
              <w:spacing w:line="240" w:lineRule="auto"/>
              <w:jc w:val="center"/>
              <w:rPr>
                <w:rFonts w:ascii="Times New Roman"/>
                <w:sz w:val="18"/>
                <w:szCs w:val="18"/>
              </w:rPr>
            </w:pPr>
            <w:r>
              <w:rPr>
                <w:rFonts w:ascii="Times New Roman"/>
                <w:sz w:val="18"/>
                <w:szCs w:val="18"/>
              </w:rPr>
              <w:t>≤</w:t>
            </w:r>
            <w:r>
              <w:rPr>
                <w:rFonts w:ascii="Times New Roman" w:eastAsiaTheme="minorEastAsia"/>
                <w:sz w:val="18"/>
                <w:szCs w:val="18"/>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14</w:t>
            </w:r>
          </w:p>
        </w:tc>
        <w:tc>
          <w:tcPr>
            <w:tcW w:w="4395" w:type="dxa"/>
            <w:gridSpan w:val="3"/>
            <w:vAlign w:val="center"/>
          </w:tcPr>
          <w:p>
            <w:pPr>
              <w:spacing w:line="240" w:lineRule="auto"/>
              <w:rPr>
                <w:rFonts w:ascii="Times New Roman" w:eastAsia="宋体"/>
                <w:sz w:val="18"/>
                <w:szCs w:val="18"/>
              </w:rPr>
            </w:pPr>
            <w:r>
              <w:rPr>
                <w:rFonts w:ascii="Times New Roman" w:eastAsia="宋体"/>
                <w:sz w:val="18"/>
                <w:szCs w:val="18"/>
              </w:rPr>
              <w:t>电气控制系统及粉尘防爆安全</w:t>
            </w:r>
          </w:p>
        </w:tc>
        <w:tc>
          <w:tcPr>
            <w:tcW w:w="3339" w:type="dxa"/>
            <w:vAlign w:val="center"/>
          </w:tcPr>
          <w:p>
            <w:pPr>
              <w:spacing w:line="240" w:lineRule="auto"/>
              <w:jc w:val="center"/>
              <w:rPr>
                <w:rFonts w:ascii="Times New Roman"/>
                <w:sz w:val="18"/>
                <w:szCs w:val="18"/>
              </w:rPr>
            </w:pPr>
            <w:r>
              <w:rPr>
                <w:rFonts w:ascii="Times New Roman" w:eastAsiaTheme="minorEastAsia"/>
                <w:sz w:val="18"/>
                <w:szCs w:val="18"/>
              </w:rPr>
              <w:t>应符合GB 17440的规定</w:t>
            </w:r>
          </w:p>
        </w:tc>
      </w:tr>
      <w:bookmarkEnd w:id="63"/>
      <w:bookmarkEnd w:id="64"/>
    </w:tbl>
    <w:p>
      <w:pPr>
        <w:pStyle w:val="28"/>
        <w:numPr>
          <w:ilvl w:val="1"/>
          <w:numId w:val="3"/>
        </w:numPr>
        <w:spacing w:before="156" w:after="156" w:line="360" w:lineRule="exact"/>
        <w:rPr>
          <w:rFonts w:ascii="Times New Roman"/>
        </w:rPr>
      </w:pPr>
      <w:bookmarkStart w:id="65" w:name="_Toc110600306"/>
      <w:bookmarkEnd w:id="65"/>
      <w:bookmarkStart w:id="66" w:name="_Toc110602348"/>
      <w:bookmarkEnd w:id="66"/>
      <w:bookmarkStart w:id="67" w:name="_Toc110600305"/>
      <w:bookmarkEnd w:id="67"/>
      <w:bookmarkStart w:id="68" w:name="_Toc110600304"/>
      <w:bookmarkEnd w:id="68"/>
      <w:bookmarkStart w:id="69" w:name="_Toc110602349"/>
      <w:bookmarkEnd w:id="69"/>
      <w:bookmarkStart w:id="70" w:name="_Toc110602350"/>
      <w:bookmarkEnd w:id="70"/>
      <w:bookmarkStart w:id="71" w:name="_Toc110600303"/>
      <w:bookmarkEnd w:id="71"/>
      <w:bookmarkStart w:id="72" w:name="_Toc110602351"/>
      <w:bookmarkEnd w:id="72"/>
      <w:r>
        <w:rPr>
          <w:rFonts w:ascii="Times New Roman"/>
        </w:rPr>
        <w:t>选址及总平面要求</w:t>
      </w:r>
    </w:p>
    <w:p>
      <w:pPr>
        <w:pStyle w:val="28"/>
        <w:spacing w:before="156" w:after="156" w:line="360" w:lineRule="exact"/>
        <w:rPr>
          <w:rFonts w:ascii="Times New Roman" w:eastAsia="宋体"/>
          <w:b/>
          <w:szCs w:val="24"/>
        </w:rPr>
      </w:pPr>
      <w:bookmarkStart w:id="73" w:name="_Toc110602354"/>
      <w:bookmarkStart w:id="74" w:name="_Toc110600309"/>
      <w:r>
        <w:rPr>
          <w:rFonts w:ascii="Times New Roman" w:eastAsia="宋体"/>
          <w:b/>
          <w:szCs w:val="24"/>
        </w:rPr>
        <w:t>5.4.1 选址要求</w:t>
      </w:r>
      <w:bookmarkEnd w:id="73"/>
      <w:bookmarkEnd w:id="74"/>
    </w:p>
    <w:p>
      <w:pPr>
        <w:widowControl w:val="0"/>
        <w:adjustRightInd/>
        <w:snapToGrid/>
        <w:spacing w:line="240" w:lineRule="auto"/>
        <w:jc w:val="both"/>
        <w:outlineLvl w:val="9"/>
        <w:rPr>
          <w:rFonts w:ascii="Times New Roman" w:eastAsia="宋体"/>
          <w:szCs w:val="22"/>
        </w:rPr>
      </w:pPr>
      <w:bookmarkStart w:id="75" w:name="_Toc110600310"/>
      <w:bookmarkStart w:id="76" w:name="_Toc110602355"/>
      <w:bookmarkStart w:id="77" w:name="_Toc109669808"/>
      <w:r>
        <w:rPr>
          <w:rFonts w:ascii="Times New Roman" w:eastAsia="宋体"/>
          <w:szCs w:val="22"/>
        </w:rPr>
        <w:t>5.4.1.1 应符合国家和地方土地利用规划和城乡规划的要求。</w:t>
      </w:r>
      <w:bookmarkEnd w:id="75"/>
      <w:bookmarkEnd w:id="76"/>
      <w:bookmarkEnd w:id="77"/>
    </w:p>
    <w:p>
      <w:pPr>
        <w:widowControl w:val="0"/>
        <w:adjustRightInd/>
        <w:snapToGrid/>
        <w:spacing w:line="240" w:lineRule="auto"/>
        <w:jc w:val="both"/>
        <w:outlineLvl w:val="9"/>
        <w:rPr>
          <w:rFonts w:ascii="Times New Roman" w:eastAsia="宋体"/>
          <w:szCs w:val="22"/>
        </w:rPr>
      </w:pPr>
      <w:bookmarkStart w:id="78" w:name="_Toc110602356"/>
      <w:bookmarkStart w:id="79" w:name="_Toc109669809"/>
      <w:bookmarkStart w:id="80" w:name="_Toc110600311"/>
      <w:r>
        <w:rPr>
          <w:rFonts w:ascii="Times New Roman" w:eastAsia="宋体"/>
          <w:szCs w:val="22"/>
        </w:rPr>
        <w:t>5.4.1.2 场地面积应满足生产、生活及发展的需要，远离居民区（距民用建筑≥25m）并位于7-10月居民区及公共建筑最大频率风向下风侧。</w:t>
      </w:r>
      <w:bookmarkEnd w:id="78"/>
      <w:bookmarkEnd w:id="79"/>
      <w:bookmarkEnd w:id="80"/>
    </w:p>
    <w:p>
      <w:pPr>
        <w:widowControl w:val="0"/>
        <w:adjustRightInd/>
        <w:snapToGrid/>
        <w:spacing w:line="240" w:lineRule="auto"/>
        <w:jc w:val="both"/>
        <w:outlineLvl w:val="9"/>
        <w:rPr>
          <w:rFonts w:ascii="Times New Roman" w:eastAsia="宋体"/>
          <w:szCs w:val="22"/>
        </w:rPr>
      </w:pPr>
      <w:bookmarkStart w:id="81" w:name="_Toc110600312"/>
      <w:bookmarkStart w:id="82" w:name="_Toc109669810"/>
      <w:bookmarkStart w:id="83" w:name="_Toc110602357"/>
      <w:r>
        <w:rPr>
          <w:rFonts w:ascii="Times New Roman" w:eastAsia="宋体"/>
          <w:szCs w:val="22"/>
        </w:rPr>
        <w:t>5.4.1.3 宜建设在稻谷种植基地附近，应确保有稳定可靠的粮源、便于就近收购稻谷，并具有相应规模的粮食储备量或中转量。周边可烘干服务范围不宜低于1000亩，收获服务半径不宜超过15公里。</w:t>
      </w:r>
      <w:bookmarkEnd w:id="81"/>
      <w:bookmarkEnd w:id="82"/>
      <w:bookmarkEnd w:id="83"/>
    </w:p>
    <w:p>
      <w:pPr>
        <w:widowControl w:val="0"/>
        <w:adjustRightInd/>
        <w:snapToGrid/>
        <w:spacing w:line="240" w:lineRule="auto"/>
        <w:jc w:val="both"/>
        <w:outlineLvl w:val="9"/>
        <w:rPr>
          <w:rFonts w:ascii="Times New Roman" w:eastAsia="宋体"/>
          <w:szCs w:val="22"/>
        </w:rPr>
      </w:pPr>
      <w:bookmarkStart w:id="84" w:name="_Toc110602358"/>
      <w:bookmarkStart w:id="85" w:name="_Toc109669811"/>
      <w:bookmarkStart w:id="86" w:name="_Toc110600313"/>
      <w:r>
        <w:rPr>
          <w:rFonts w:ascii="Times New Roman" w:eastAsia="宋体"/>
          <w:szCs w:val="22"/>
        </w:rPr>
        <w:t>5.4.1.4 应具有便利和经济的交通运输条件，具备可靠、适用、经济的供电、消防用水、供热、通讯等外部协作条件。</w:t>
      </w:r>
      <w:bookmarkEnd w:id="84"/>
      <w:bookmarkEnd w:id="85"/>
      <w:bookmarkEnd w:id="86"/>
    </w:p>
    <w:p>
      <w:pPr>
        <w:widowControl w:val="0"/>
        <w:adjustRightInd/>
        <w:snapToGrid/>
        <w:spacing w:line="240" w:lineRule="auto"/>
        <w:jc w:val="both"/>
        <w:outlineLvl w:val="9"/>
        <w:rPr>
          <w:rFonts w:ascii="Times New Roman" w:eastAsia="宋体"/>
          <w:szCs w:val="22"/>
        </w:rPr>
      </w:pPr>
      <w:bookmarkStart w:id="87" w:name="_Toc109669812"/>
      <w:bookmarkStart w:id="88" w:name="_Toc110602359"/>
      <w:bookmarkStart w:id="89" w:name="_Toc110600314"/>
      <w:r>
        <w:rPr>
          <w:rFonts w:ascii="Times New Roman" w:eastAsia="宋体"/>
          <w:szCs w:val="22"/>
        </w:rPr>
        <w:t>5.4.1.5 应远离污染源及易燃、易爆等危险物品生产或存放的场所，符合国家及地方防爆、防火、防尘、环保、卫生及安全生产要求。</w:t>
      </w:r>
      <w:bookmarkEnd w:id="87"/>
      <w:bookmarkEnd w:id="88"/>
      <w:bookmarkEnd w:id="89"/>
    </w:p>
    <w:p>
      <w:pPr>
        <w:widowControl w:val="0"/>
        <w:adjustRightInd/>
        <w:snapToGrid/>
        <w:spacing w:line="240" w:lineRule="auto"/>
        <w:jc w:val="both"/>
        <w:outlineLvl w:val="9"/>
        <w:rPr>
          <w:rFonts w:ascii="Times New Roman" w:eastAsia="宋体"/>
          <w:szCs w:val="22"/>
        </w:rPr>
      </w:pPr>
      <w:bookmarkStart w:id="90" w:name="_Toc110602360"/>
      <w:bookmarkStart w:id="91" w:name="_Toc109669813"/>
      <w:bookmarkStart w:id="92" w:name="_Toc110600315"/>
      <w:r>
        <w:rPr>
          <w:rFonts w:ascii="Times New Roman" w:eastAsia="宋体"/>
          <w:szCs w:val="22"/>
        </w:rPr>
        <w:t>5.4.1.6 具有良好的工程地质和水文地质条件，地势应相对平坦、开阔、不低于周边基础高度，避免洪水、潮水或内涝威胁。不宜选择在抗震设防为8度以上的地震区，应避开泥石流、滑坡、洪涝等直接危害地段以及IV级自重湿陷性黄土和III级膨胀土等工程地质条件不良区。</w:t>
      </w:r>
      <w:bookmarkEnd w:id="90"/>
      <w:bookmarkEnd w:id="91"/>
      <w:bookmarkEnd w:id="92"/>
    </w:p>
    <w:p>
      <w:pPr>
        <w:widowControl w:val="0"/>
        <w:adjustRightInd/>
        <w:snapToGrid/>
        <w:spacing w:line="240" w:lineRule="auto"/>
        <w:jc w:val="both"/>
        <w:outlineLvl w:val="9"/>
        <w:rPr>
          <w:rFonts w:ascii="Times New Roman" w:eastAsia="宋体"/>
          <w:szCs w:val="22"/>
        </w:rPr>
      </w:pPr>
      <w:bookmarkStart w:id="93" w:name="_Toc110600316"/>
      <w:bookmarkStart w:id="94" w:name="_Toc110602361"/>
      <w:bookmarkStart w:id="95" w:name="_Toc109669814"/>
      <w:r>
        <w:rPr>
          <w:rFonts w:ascii="Times New Roman" w:eastAsia="宋体"/>
          <w:szCs w:val="22"/>
        </w:rPr>
        <w:t>5.4.1.7 应避开高压线、地下光缆、电缆、输油输气管道等设施。</w:t>
      </w:r>
      <w:bookmarkEnd w:id="93"/>
      <w:bookmarkEnd w:id="94"/>
      <w:bookmarkEnd w:id="95"/>
    </w:p>
    <w:p>
      <w:pPr>
        <w:pStyle w:val="28"/>
        <w:spacing w:before="156" w:after="156" w:line="360" w:lineRule="exact"/>
        <w:rPr>
          <w:rFonts w:ascii="Times New Roman" w:eastAsia="宋体"/>
          <w:b/>
          <w:szCs w:val="24"/>
        </w:rPr>
      </w:pPr>
      <w:bookmarkStart w:id="96" w:name="_Toc110602362"/>
      <w:bookmarkStart w:id="97" w:name="_Toc110600317"/>
      <w:r>
        <w:rPr>
          <w:rFonts w:ascii="Times New Roman" w:eastAsia="宋体"/>
          <w:b/>
          <w:szCs w:val="24"/>
        </w:rPr>
        <w:t>5.4.2功能分区</w:t>
      </w:r>
      <w:bookmarkEnd w:id="96"/>
      <w:bookmarkEnd w:id="97"/>
    </w:p>
    <w:p>
      <w:pPr>
        <w:widowControl w:val="0"/>
        <w:adjustRightInd/>
        <w:snapToGrid/>
        <w:spacing w:line="240" w:lineRule="auto"/>
        <w:jc w:val="both"/>
        <w:outlineLvl w:val="9"/>
        <w:rPr>
          <w:rFonts w:ascii="Times New Roman" w:eastAsia="宋体"/>
          <w:szCs w:val="22"/>
        </w:rPr>
      </w:pPr>
      <w:bookmarkStart w:id="98" w:name="_Toc110600318"/>
      <w:bookmarkStart w:id="99" w:name="_Toc110602363"/>
      <w:bookmarkStart w:id="100" w:name="_Toc109669815"/>
      <w:r>
        <w:rPr>
          <w:rFonts w:ascii="Times New Roman" w:eastAsia="宋体"/>
          <w:szCs w:val="22"/>
        </w:rPr>
        <w:t>5.4.2.1 烘干中心可分为原粮称重检测、预处理、烘前暂存、烘干、烘后暂存等主要生产区域和除尘、配电、燃料存储等辅助设施区域等，还可根据场区情况设置办公区和生活区。。</w:t>
      </w:r>
      <w:bookmarkEnd w:id="98"/>
      <w:bookmarkEnd w:id="99"/>
      <w:bookmarkEnd w:id="100"/>
      <w:bookmarkStart w:id="101" w:name="_Toc109669816"/>
    </w:p>
    <w:p>
      <w:pPr>
        <w:widowControl w:val="0"/>
        <w:adjustRightInd/>
        <w:snapToGrid/>
        <w:spacing w:line="240" w:lineRule="auto"/>
        <w:jc w:val="both"/>
        <w:outlineLvl w:val="9"/>
        <w:rPr>
          <w:rFonts w:ascii="Times New Roman" w:eastAsia="宋体"/>
          <w:szCs w:val="22"/>
        </w:rPr>
      </w:pPr>
      <w:bookmarkStart w:id="102" w:name="_Toc110600319"/>
      <w:bookmarkStart w:id="103" w:name="_Toc110602364"/>
      <w:r>
        <w:rPr>
          <w:rFonts w:ascii="Times New Roman" w:eastAsia="宋体"/>
          <w:szCs w:val="22"/>
        </w:rPr>
        <w:t xml:space="preserve">5.4.2.2 </w:t>
      </w:r>
      <w:bookmarkEnd w:id="101"/>
      <w:bookmarkEnd w:id="102"/>
      <w:bookmarkEnd w:id="103"/>
      <w:r>
        <w:rPr>
          <w:rFonts w:ascii="Times New Roman" w:eastAsia="宋体"/>
          <w:szCs w:val="22"/>
        </w:rPr>
        <w:t>烘干中心应做到功能分区明确、工艺流程简捷、布局紧凑合理，物流人流顺畅、确保操作安全便捷。</w:t>
      </w:r>
    </w:p>
    <w:p>
      <w:pPr>
        <w:widowControl w:val="0"/>
        <w:adjustRightInd/>
        <w:snapToGrid/>
        <w:spacing w:line="240" w:lineRule="auto"/>
        <w:jc w:val="both"/>
        <w:outlineLvl w:val="9"/>
        <w:rPr>
          <w:rFonts w:ascii="Times New Roman" w:eastAsia="宋体"/>
          <w:szCs w:val="22"/>
        </w:rPr>
      </w:pPr>
      <w:bookmarkStart w:id="104" w:name="_Toc110602366"/>
      <w:bookmarkStart w:id="105" w:name="_Toc110600321"/>
      <w:r>
        <w:rPr>
          <w:rFonts w:ascii="Times New Roman" w:eastAsia="宋体"/>
          <w:szCs w:val="22"/>
        </w:rPr>
        <w:t xml:space="preserve">5.4.2.3 </w:t>
      </w:r>
      <w:bookmarkEnd w:id="104"/>
      <w:bookmarkEnd w:id="105"/>
      <w:r>
        <w:rPr>
          <w:rFonts w:ascii="Times New Roman" w:eastAsia="宋体"/>
          <w:szCs w:val="22"/>
        </w:rPr>
        <w:t>配电设施应靠近负荷较大的烘干区、靠近厂区边缘且输电线路进出方便的位置，宜布置在场区地势较高的位置，不得布置在有强烈振动的设备附近；</w:t>
      </w:r>
    </w:p>
    <w:p>
      <w:pPr>
        <w:widowControl w:val="0"/>
        <w:adjustRightInd/>
        <w:snapToGrid/>
        <w:spacing w:line="240" w:lineRule="auto"/>
        <w:jc w:val="both"/>
        <w:outlineLvl w:val="9"/>
        <w:rPr>
          <w:rFonts w:ascii="Times New Roman" w:eastAsia="宋体"/>
          <w:szCs w:val="22"/>
        </w:rPr>
      </w:pPr>
      <w:r>
        <w:rPr>
          <w:rFonts w:ascii="Times New Roman" w:eastAsia="宋体"/>
          <w:szCs w:val="22"/>
        </w:rPr>
        <w:t>5.4.2.4 燃料间位置与各设施间的消防应符合GB 50016的要求；</w:t>
      </w:r>
    </w:p>
    <w:p>
      <w:pPr>
        <w:widowControl w:val="0"/>
        <w:adjustRightInd/>
        <w:snapToGrid/>
        <w:spacing w:line="240" w:lineRule="auto"/>
        <w:jc w:val="both"/>
        <w:outlineLvl w:val="9"/>
        <w:rPr>
          <w:rFonts w:ascii="Times New Roman" w:eastAsia="宋体"/>
          <w:szCs w:val="22"/>
        </w:rPr>
      </w:pPr>
      <w:r>
        <w:rPr>
          <w:rFonts w:ascii="Times New Roman" w:eastAsia="宋体"/>
          <w:szCs w:val="22"/>
        </w:rPr>
        <w:t>5.4.2.5 场区应设计有环通道路和回车场。</w:t>
      </w:r>
    </w:p>
    <w:p>
      <w:pPr>
        <w:pStyle w:val="28"/>
        <w:numPr>
          <w:ilvl w:val="1"/>
          <w:numId w:val="3"/>
        </w:numPr>
        <w:spacing w:before="156" w:after="156" w:line="360" w:lineRule="exact"/>
        <w:rPr>
          <w:rFonts w:ascii="Times New Roman"/>
        </w:rPr>
      </w:pPr>
      <w:bookmarkStart w:id="106" w:name="_Toc110600598"/>
      <w:bookmarkStart w:id="107" w:name="_Toc110602643"/>
      <w:r>
        <w:rPr>
          <w:rFonts w:ascii="Times New Roman"/>
        </w:rPr>
        <w:t>成套设备布局</w:t>
      </w:r>
    </w:p>
    <w:bookmarkEnd w:id="106"/>
    <w:bookmarkEnd w:id="107"/>
    <w:p>
      <w:pPr>
        <w:pStyle w:val="28"/>
        <w:spacing w:before="156" w:after="156"/>
        <w:rPr>
          <w:rFonts w:ascii="Times New Roman" w:eastAsia="宋体"/>
          <w:szCs w:val="24"/>
        </w:rPr>
      </w:pPr>
      <w:r>
        <w:rPr>
          <w:rFonts w:ascii="Times New Roman" w:eastAsia="宋体"/>
          <w:szCs w:val="24"/>
        </w:rPr>
        <w:t>5.5.1 本规范中烘干设备</w:t>
      </w:r>
      <w:r>
        <w:rPr>
          <w:rFonts w:hint="eastAsia" w:ascii="Times New Roman" w:eastAsia="宋体"/>
          <w:szCs w:val="24"/>
        </w:rPr>
        <w:t>以生物质颗粒热风炉为热源</w:t>
      </w:r>
      <w:r>
        <w:rPr>
          <w:rFonts w:ascii="Times New Roman" w:eastAsia="宋体"/>
          <w:szCs w:val="24"/>
        </w:rPr>
        <w:t>进行布局，考虑到个别需求，也提供了1套以天然气</w:t>
      </w:r>
      <w:r>
        <w:rPr>
          <w:rFonts w:hint="eastAsia" w:ascii="Times New Roman" w:eastAsia="宋体"/>
          <w:szCs w:val="24"/>
        </w:rPr>
        <w:t>/燃油</w:t>
      </w:r>
      <w:r>
        <w:rPr>
          <w:rFonts w:ascii="Times New Roman" w:eastAsia="宋体"/>
          <w:szCs w:val="24"/>
        </w:rPr>
        <w:t>为能源的</w:t>
      </w:r>
      <w:r>
        <w:rPr>
          <w:rFonts w:hint="eastAsia" w:ascii="Times New Roman" w:eastAsia="宋体"/>
          <w:szCs w:val="24"/>
        </w:rPr>
        <w:t>烘干</w:t>
      </w:r>
      <w:r>
        <w:rPr>
          <w:rFonts w:ascii="Times New Roman" w:eastAsia="宋体"/>
          <w:szCs w:val="24"/>
        </w:rPr>
        <w:t>设备布局作为参考。布局图中提供了附属设施烘干机（塔）房与除尘室的建议尺寸。</w:t>
      </w:r>
    </w:p>
    <w:p>
      <w:pPr>
        <w:pStyle w:val="28"/>
        <w:spacing w:before="156" w:after="156" w:line="360" w:lineRule="exact"/>
        <w:rPr>
          <w:rFonts w:ascii="Times New Roman" w:eastAsia="宋体"/>
          <w:b/>
          <w:szCs w:val="24"/>
        </w:rPr>
      </w:pPr>
      <w:r>
        <w:rPr>
          <w:rFonts w:ascii="Times New Roman" w:eastAsia="宋体"/>
          <w:b/>
          <w:szCs w:val="24"/>
        </w:rPr>
        <w:t>5.5.2 成套设备布局</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 xml:space="preserve">5.5.2.1 Ⅰ </w:t>
      </w:r>
      <w:r>
        <w:rPr>
          <w:rFonts w:hint="eastAsia" w:ascii="Times New Roman" w:eastAsia="宋体"/>
          <w:b/>
          <w:szCs w:val="22"/>
        </w:rPr>
        <w:t>型</w:t>
      </w:r>
      <w:r>
        <w:rPr>
          <w:rFonts w:ascii="Times New Roman" w:eastAsia="宋体"/>
          <w:b/>
          <w:szCs w:val="22"/>
        </w:rPr>
        <w:t>烘干中心</w:t>
      </w:r>
    </w:p>
    <w:p>
      <w:pPr>
        <w:widowControl w:val="0"/>
        <w:adjustRightInd/>
        <w:snapToGrid/>
        <w:spacing w:line="240" w:lineRule="auto"/>
        <w:ind w:firstLine="420" w:firstLineChars="200"/>
        <w:jc w:val="both"/>
        <w:outlineLvl w:val="9"/>
        <w:rPr>
          <w:rFonts w:ascii="Times New Roman" w:eastAsia="宋体"/>
          <w:szCs w:val="22"/>
        </w:rPr>
      </w:pPr>
      <w:r>
        <w:rPr>
          <w:rFonts w:ascii="Times New Roman" w:eastAsia="宋体"/>
          <w:szCs w:val="22"/>
        </w:rPr>
        <w:t>烘干中心平面布局图、立面图及侧视图分别见附图1、附图2和附图3。</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5.5.2.2 Ⅱ 型烘干中心</w:t>
      </w:r>
    </w:p>
    <w:p>
      <w:pPr>
        <w:widowControl w:val="0"/>
        <w:adjustRightInd/>
        <w:snapToGrid/>
        <w:spacing w:line="240" w:lineRule="auto"/>
        <w:ind w:firstLine="420" w:firstLineChars="200"/>
        <w:jc w:val="both"/>
        <w:outlineLvl w:val="9"/>
        <w:rPr>
          <w:rFonts w:ascii="Times New Roman" w:eastAsia="宋体"/>
          <w:szCs w:val="22"/>
        </w:rPr>
      </w:pPr>
      <w:r>
        <w:rPr>
          <w:rFonts w:ascii="Times New Roman" w:eastAsia="宋体"/>
          <w:szCs w:val="22"/>
        </w:rPr>
        <w:t>平面布局图、立面图及侧视图分别见附图4、附图5和附图6。</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5.5.2.3 Ⅲ 型烘干中心</w:t>
      </w:r>
    </w:p>
    <w:p>
      <w:pPr>
        <w:widowControl w:val="0"/>
        <w:adjustRightInd/>
        <w:snapToGrid/>
        <w:spacing w:line="240" w:lineRule="auto"/>
        <w:ind w:firstLine="420" w:firstLineChars="200"/>
        <w:jc w:val="both"/>
        <w:outlineLvl w:val="9"/>
        <w:rPr>
          <w:rFonts w:ascii="Times New Roman" w:eastAsia="宋体"/>
          <w:szCs w:val="22"/>
        </w:rPr>
      </w:pPr>
      <w:r>
        <w:rPr>
          <w:rFonts w:ascii="Times New Roman" w:eastAsia="宋体"/>
          <w:szCs w:val="22"/>
        </w:rPr>
        <w:t>平面布局图、立面图及侧视图见附图7、附图8和附图9。</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5.5.2.4 Ⅳ 型烘干中心</w:t>
      </w:r>
    </w:p>
    <w:p>
      <w:pPr>
        <w:widowControl w:val="0"/>
        <w:adjustRightInd/>
        <w:snapToGrid/>
        <w:spacing w:line="240" w:lineRule="auto"/>
        <w:ind w:firstLine="424" w:firstLineChars="202"/>
        <w:jc w:val="both"/>
        <w:outlineLvl w:val="9"/>
        <w:rPr>
          <w:rFonts w:ascii="Times New Roman" w:eastAsia="宋体"/>
          <w:szCs w:val="22"/>
        </w:rPr>
      </w:pPr>
      <w:r>
        <w:rPr>
          <w:rFonts w:ascii="Times New Roman" w:eastAsia="宋体"/>
          <w:szCs w:val="22"/>
        </w:rPr>
        <w:t>平面布局图、立面图及侧视图见附图10、附图11和附图12。</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5.5.2.5 Ⅴ 型烘干中心</w:t>
      </w:r>
    </w:p>
    <w:p>
      <w:pPr>
        <w:widowControl w:val="0"/>
        <w:adjustRightInd/>
        <w:snapToGrid/>
        <w:spacing w:line="240" w:lineRule="auto"/>
        <w:ind w:firstLine="424" w:firstLineChars="202"/>
        <w:jc w:val="both"/>
        <w:outlineLvl w:val="9"/>
        <w:rPr>
          <w:rFonts w:ascii="Times New Roman" w:eastAsia="宋体"/>
          <w:szCs w:val="22"/>
        </w:rPr>
      </w:pPr>
      <w:r>
        <w:rPr>
          <w:rFonts w:ascii="Times New Roman" w:eastAsia="宋体"/>
          <w:szCs w:val="22"/>
        </w:rPr>
        <w:t>平面布局图、立面图及侧视图见附图13、附图14和附图15。</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5.5.2.6 Ⅵ 型烘干中心</w:t>
      </w:r>
    </w:p>
    <w:p>
      <w:pPr>
        <w:widowControl w:val="0"/>
        <w:adjustRightInd/>
        <w:snapToGrid/>
        <w:spacing w:line="240" w:lineRule="auto"/>
        <w:ind w:firstLine="424" w:firstLineChars="202"/>
        <w:jc w:val="both"/>
        <w:outlineLvl w:val="9"/>
        <w:rPr>
          <w:rFonts w:ascii="Times New Roman" w:eastAsia="宋体"/>
          <w:szCs w:val="22"/>
        </w:rPr>
      </w:pPr>
      <w:r>
        <w:rPr>
          <w:rFonts w:ascii="Times New Roman" w:eastAsia="宋体"/>
          <w:szCs w:val="22"/>
        </w:rPr>
        <w:t>平面布局图、立面图及侧视图见附图16、附图17和附图18。</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5.5.2.7 Ⅶ 型烘干中心</w:t>
      </w:r>
    </w:p>
    <w:p>
      <w:pPr>
        <w:widowControl w:val="0"/>
        <w:adjustRightInd/>
        <w:snapToGrid/>
        <w:spacing w:line="240" w:lineRule="auto"/>
        <w:ind w:firstLine="424" w:firstLineChars="202"/>
        <w:jc w:val="both"/>
        <w:outlineLvl w:val="9"/>
        <w:rPr>
          <w:rFonts w:ascii="Times New Roman" w:eastAsia="宋体"/>
          <w:szCs w:val="22"/>
        </w:rPr>
      </w:pPr>
      <w:r>
        <w:rPr>
          <w:rFonts w:ascii="Times New Roman" w:eastAsia="宋体"/>
          <w:szCs w:val="22"/>
        </w:rPr>
        <w:t>平面布局图、立面图及侧视图见附图19、附图20和附图21。</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5.5.2.8 燃油/燃气形式的烘干中心</w:t>
      </w:r>
    </w:p>
    <w:p>
      <w:pPr>
        <w:widowControl w:val="0"/>
        <w:adjustRightInd/>
        <w:snapToGrid/>
        <w:spacing w:line="240" w:lineRule="auto"/>
        <w:ind w:firstLine="420" w:firstLineChars="200"/>
        <w:jc w:val="both"/>
        <w:outlineLvl w:val="9"/>
        <w:rPr>
          <w:rFonts w:ascii="Times New Roman" w:eastAsia="宋体"/>
          <w:szCs w:val="22"/>
        </w:rPr>
      </w:pPr>
      <w:r>
        <w:rPr>
          <w:rFonts w:ascii="Times New Roman" w:eastAsia="宋体"/>
          <w:szCs w:val="22"/>
        </w:rPr>
        <w:t>以180吨/批烘干中心为例说明其布局情况，平面布局图、立面图及侧视图见附图22、附图23和附图24。</w:t>
      </w:r>
    </w:p>
    <w:p>
      <w:pPr>
        <w:pStyle w:val="29"/>
        <w:numPr>
          <w:ilvl w:val="0"/>
          <w:numId w:val="3"/>
        </w:numPr>
        <w:spacing w:before="156" w:beforeLines="50" w:after="156" w:afterLines="50" w:line="480" w:lineRule="auto"/>
        <w:ind w:left="0"/>
        <w:rPr>
          <w:rFonts w:ascii="Times New Roman"/>
        </w:rPr>
      </w:pPr>
      <w:bookmarkStart w:id="108" w:name="_Toc116398191"/>
      <w:r>
        <w:rPr>
          <w:rFonts w:ascii="Times New Roman"/>
        </w:rPr>
        <w:t>成套设备配置及投资估算</w:t>
      </w:r>
      <w:bookmarkEnd w:id="108"/>
    </w:p>
    <w:p>
      <w:pPr>
        <w:numPr>
          <w:ilvl w:val="1"/>
          <w:numId w:val="3"/>
        </w:numPr>
        <w:adjustRightInd/>
        <w:snapToGrid/>
        <w:spacing w:before="156" w:beforeLines="50" w:after="156" w:afterLines="50" w:line="360" w:lineRule="exact"/>
        <w:rPr>
          <w:rFonts w:ascii="Times New Roman"/>
        </w:rPr>
      </w:pPr>
      <w:bookmarkStart w:id="109" w:name="_Toc110600612"/>
      <w:bookmarkEnd w:id="109"/>
      <w:bookmarkStart w:id="110" w:name="_Toc110602657"/>
      <w:bookmarkEnd w:id="110"/>
      <w:bookmarkStart w:id="111" w:name="_Toc110602658"/>
      <w:bookmarkEnd w:id="111"/>
      <w:bookmarkStart w:id="112" w:name="_Toc110602654"/>
      <w:bookmarkEnd w:id="112"/>
      <w:bookmarkStart w:id="113" w:name="_Toc110602656"/>
      <w:bookmarkEnd w:id="113"/>
      <w:bookmarkStart w:id="114" w:name="_Toc110602655"/>
      <w:bookmarkEnd w:id="114"/>
      <w:bookmarkStart w:id="115" w:name="_Toc110600613"/>
      <w:bookmarkEnd w:id="115"/>
      <w:bookmarkStart w:id="116" w:name="_Toc110600611"/>
      <w:bookmarkEnd w:id="116"/>
      <w:bookmarkStart w:id="117" w:name="_Toc110600610"/>
      <w:bookmarkEnd w:id="117"/>
      <w:bookmarkStart w:id="118" w:name="_Toc110600608"/>
      <w:bookmarkEnd w:id="118"/>
      <w:bookmarkStart w:id="119" w:name="_Toc110602652"/>
      <w:bookmarkEnd w:id="119"/>
      <w:bookmarkStart w:id="120" w:name="_Toc110600609"/>
      <w:bookmarkEnd w:id="120"/>
      <w:bookmarkStart w:id="121" w:name="_Toc110602653"/>
      <w:bookmarkEnd w:id="121"/>
      <w:bookmarkStart w:id="122" w:name="_Toc110600606"/>
      <w:bookmarkEnd w:id="122"/>
      <w:bookmarkStart w:id="123" w:name="_Toc110602651"/>
      <w:bookmarkEnd w:id="123"/>
      <w:bookmarkStart w:id="124" w:name="_Toc110600607"/>
      <w:bookmarkEnd w:id="124"/>
      <w:bookmarkStart w:id="125" w:name="_Toc110602664"/>
      <w:bookmarkStart w:id="126" w:name="_Toc110600619"/>
      <w:r>
        <w:rPr>
          <w:rFonts w:hint="eastAsia" w:ascii="Times New Roman"/>
        </w:rPr>
        <w:t>烘干中心成套设备总体投资估算</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见表4。</w:t>
      </w:r>
    </w:p>
    <w:p>
      <w:pPr>
        <w:widowControl w:val="0"/>
        <w:autoSpaceDE w:val="0"/>
        <w:autoSpaceDN w:val="0"/>
        <w:snapToGrid/>
        <w:spacing w:line="240" w:lineRule="auto"/>
        <w:jc w:val="center"/>
        <w:outlineLvl w:val="9"/>
        <w:rPr>
          <w:rFonts w:ascii="Times New Roman"/>
        </w:rPr>
      </w:pPr>
      <w:r>
        <w:rPr>
          <w:rFonts w:hint="eastAsia" w:ascii="Times New Roman"/>
        </w:rPr>
        <w:t xml:space="preserve"> </w:t>
      </w:r>
      <w:r>
        <w:rPr>
          <w:rFonts w:ascii="Times New Roman"/>
        </w:rPr>
        <w:t xml:space="preserve">                   </w:t>
      </w:r>
      <w:r>
        <w:rPr>
          <w:rFonts w:hint="eastAsia" w:ascii="Times New Roman"/>
        </w:rPr>
        <w:t>表4</w:t>
      </w:r>
      <w:r>
        <w:rPr>
          <w:rFonts w:ascii="Times New Roman"/>
        </w:rPr>
        <w:t xml:space="preserve">  </w:t>
      </w:r>
      <w:r>
        <w:rPr>
          <w:rFonts w:hint="eastAsia" w:ascii="Times New Roman"/>
        </w:rPr>
        <w:t xml:space="preserve">烘干中心成套设备总体投资估算 </w:t>
      </w:r>
      <w:r>
        <w:rPr>
          <w:rFonts w:ascii="Times New Roman"/>
        </w:rPr>
        <w:t xml:space="preserve">             </w:t>
      </w:r>
      <w:r>
        <w:rPr>
          <w:rFonts w:hint="eastAsia" w:ascii="Times New Roman"/>
          <w:sz w:val="18"/>
          <w:szCs w:val="18"/>
        </w:rPr>
        <w:t>万元</w:t>
      </w:r>
    </w:p>
    <w:tbl>
      <w:tblPr>
        <w:tblStyle w:val="21"/>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1134"/>
        <w:gridCol w:w="1270"/>
        <w:gridCol w:w="1109"/>
        <w:gridCol w:w="1109"/>
        <w:gridCol w:w="1109"/>
        <w:gridCol w:w="1109"/>
        <w:gridCol w:w="110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696" w:type="dxa"/>
            <w:gridSpan w:val="2"/>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设备名称</w:t>
            </w:r>
          </w:p>
        </w:tc>
        <w:tc>
          <w:tcPr>
            <w:tcW w:w="1270"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Ⅰ型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Ⅱ型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Ⅲ型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Ⅳ型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Ⅴ型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Ⅵ型</w:t>
            </w:r>
          </w:p>
        </w:tc>
        <w:tc>
          <w:tcPr>
            <w:tcW w:w="1109" w:type="dxa"/>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称重系统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7.66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7.66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8.26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8.26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8.26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8.26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原粮预处理系统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6.23</w:t>
            </w:r>
          </w:p>
          <w:p>
            <w:pPr>
              <w:widowControl w:val="0"/>
              <w:autoSpaceDE w:val="0"/>
              <w:autoSpaceDN w:val="0"/>
              <w:snapToGrid/>
              <w:spacing w:line="240" w:lineRule="auto"/>
              <w:jc w:val="center"/>
              <w:outlineLvl w:val="9"/>
              <w:rPr>
                <w:rFonts w:ascii="Times New Roman"/>
              </w:rPr>
            </w:pPr>
            <w:r>
              <w:rPr>
                <w:rFonts w:ascii="Times New Roman"/>
                <w:sz w:val="18"/>
                <w:szCs w:val="18"/>
              </w:rPr>
              <w:t>（10.96）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6.23</w:t>
            </w:r>
            <w:r>
              <w:rPr>
                <w:rFonts w:ascii="Times New Roman"/>
                <w:sz w:val="18"/>
                <w:szCs w:val="18"/>
              </w:rPr>
              <w:t>（10.96）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6.98</w:t>
            </w:r>
            <w:r>
              <w:rPr>
                <w:rFonts w:ascii="Times New Roman"/>
                <w:sz w:val="18"/>
                <w:szCs w:val="18"/>
              </w:rPr>
              <w:t>（13.02）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6.98</w:t>
            </w:r>
            <w:r>
              <w:rPr>
                <w:rFonts w:ascii="Times New Roman"/>
                <w:sz w:val="18"/>
                <w:szCs w:val="18"/>
              </w:rPr>
              <w:t>（13.02）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6.98</w:t>
            </w:r>
            <w:r>
              <w:rPr>
                <w:rFonts w:ascii="Times New Roman"/>
                <w:sz w:val="18"/>
                <w:szCs w:val="18"/>
              </w:rPr>
              <w:t>（13.02）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6.98</w:t>
            </w:r>
            <w:r>
              <w:rPr>
                <w:rFonts w:ascii="Times New Roman"/>
                <w:sz w:val="18"/>
                <w:szCs w:val="18"/>
              </w:rPr>
              <w:t>（13.02）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6.98</w:t>
            </w:r>
            <w:r>
              <w:rPr>
                <w:rFonts w:ascii="Times New Roman"/>
                <w:sz w:val="18"/>
                <w:szCs w:val="18"/>
              </w:rPr>
              <w:t>（13.02）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烘前暂存系统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12.9</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14.32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16.35</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18.24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32.36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34.4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62" w:type="dxa"/>
            <w:vMerge w:val="restar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烘干</w:t>
            </w:r>
          </w:p>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Cs/>
                <w:sz w:val="18"/>
                <w:szCs w:val="18"/>
              </w:rPr>
              <w:t>系统</w:t>
            </w:r>
          </w:p>
        </w:tc>
        <w:tc>
          <w:tcPr>
            <w:tcW w:w="1134" w:type="dxa"/>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生物质颗粒</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50.84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73.14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96.18</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140.92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207.82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276.48</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62" w:type="dxa"/>
            <w:vMerge w:val="continue"/>
            <w:vAlign w:val="center"/>
          </w:tcPr>
          <w:p>
            <w:pPr>
              <w:widowControl w:val="0"/>
              <w:adjustRightInd/>
              <w:snapToGrid/>
              <w:spacing w:line="200" w:lineRule="exact"/>
              <w:jc w:val="both"/>
              <w:outlineLvl w:val="9"/>
              <w:rPr>
                <w:rFonts w:asciiTheme="minorEastAsia" w:hAnsiTheme="minorEastAsia" w:eastAsiaTheme="minorEastAsia"/>
                <w:bCs/>
                <w:sz w:val="18"/>
                <w:szCs w:val="18"/>
              </w:rPr>
            </w:pPr>
          </w:p>
        </w:tc>
        <w:tc>
          <w:tcPr>
            <w:tcW w:w="1134" w:type="dxa"/>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燃油/燃气</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47.84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65.34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90.18</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125.32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184.42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245.28</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烘后暂存系统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12.9</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14.32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16.35</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18.24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32.24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34.4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48.62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电气控制系统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2.72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2.72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6.44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6.44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8.41</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9.99</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除尘系统</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9.3</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9.423</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14.8</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15.56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18.99</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23.49</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27.85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96" w:type="dxa"/>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附属设施</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45.72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50.06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51.62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75.82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97.52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124.17</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136.04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62" w:type="dxa"/>
            <w:vMerge w:val="restar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烘干中心投资合计</w:t>
            </w:r>
          </w:p>
        </w:tc>
        <w:tc>
          <w:tcPr>
            <w:tcW w:w="1134" w:type="dxa"/>
            <w:vAlign w:val="center"/>
          </w:tcPr>
          <w:p>
            <w:pPr>
              <w:widowControl w:val="0"/>
              <w:autoSpaceDE w:val="0"/>
              <w:autoSpaceDN w:val="0"/>
              <w:snapToGrid/>
              <w:spacing w:line="240" w:lineRule="auto"/>
              <w:jc w:val="both"/>
              <w:outlineLvl w:val="9"/>
              <w:rPr>
                <w:rFonts w:asciiTheme="minorEastAsia" w:hAnsiTheme="minorEastAsia" w:eastAsiaTheme="minorEastAsia"/>
                <w:b/>
              </w:rPr>
            </w:pPr>
            <w:r>
              <w:rPr>
                <w:rFonts w:asciiTheme="minorEastAsia" w:hAnsiTheme="minorEastAsia" w:eastAsiaTheme="minorEastAsia"/>
                <w:b/>
                <w:bCs/>
                <w:sz w:val="18"/>
                <w:szCs w:val="18"/>
              </w:rPr>
              <w:t>生物质颗粒</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148.27</w:t>
            </w:r>
          </w:p>
          <w:p>
            <w:pPr>
              <w:widowControl w:val="0"/>
              <w:autoSpaceDE w:val="0"/>
              <w:autoSpaceDN w:val="0"/>
              <w:snapToGrid/>
              <w:spacing w:line="240" w:lineRule="auto"/>
              <w:jc w:val="center"/>
              <w:outlineLvl w:val="9"/>
              <w:rPr>
                <w:rFonts w:ascii="Times New Roman"/>
                <w:sz w:val="18"/>
                <w:szCs w:val="18"/>
              </w:rPr>
            </w:pPr>
            <w:r>
              <w:rPr>
                <w:rFonts w:ascii="Times New Roman"/>
                <w:sz w:val="18"/>
                <w:szCs w:val="18"/>
              </w:rPr>
              <w:t>（153.0）</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177.88</w:t>
            </w:r>
            <w:r>
              <w:rPr>
                <w:rFonts w:ascii="Times New Roman"/>
                <w:sz w:val="18"/>
                <w:szCs w:val="18"/>
              </w:rPr>
              <w:t>（182.61）</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216.98</w:t>
            </w:r>
            <w:r>
              <w:rPr>
                <w:rFonts w:ascii="Times New Roman"/>
                <w:bCs/>
                <w:sz w:val="18"/>
                <w:szCs w:val="18"/>
              </w:rPr>
              <w:t>（223.02）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289.96</w:t>
            </w:r>
            <w:r>
              <w:rPr>
                <w:rFonts w:ascii="Times New Roman"/>
                <w:bCs/>
                <w:sz w:val="18"/>
                <w:szCs w:val="18"/>
              </w:rPr>
              <w:t>（296）</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412.58</w:t>
            </w:r>
            <w:r>
              <w:rPr>
                <w:rFonts w:ascii="Times New Roman"/>
                <w:bCs/>
                <w:sz w:val="18"/>
                <w:szCs w:val="18"/>
              </w:rPr>
              <w:t>（418.62）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518.17</w:t>
            </w:r>
            <w:r>
              <w:rPr>
                <w:rFonts w:ascii="Times New Roman"/>
                <w:bCs/>
                <w:sz w:val="18"/>
                <w:szCs w:val="18"/>
              </w:rPr>
              <w:t>（524.21）</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636.4</w:t>
            </w:r>
            <w:r>
              <w:rPr>
                <w:rFonts w:ascii="Times New Roman"/>
                <w:bCs/>
                <w:sz w:val="18"/>
                <w:szCs w:val="18"/>
              </w:rPr>
              <w:t>（642.44）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62" w:type="dxa"/>
            <w:vMerge w:val="continue"/>
            <w:vAlign w:val="center"/>
          </w:tcPr>
          <w:p>
            <w:pPr>
              <w:widowControl w:val="0"/>
              <w:autoSpaceDE w:val="0"/>
              <w:autoSpaceDN w:val="0"/>
              <w:snapToGrid/>
              <w:spacing w:line="240" w:lineRule="auto"/>
              <w:jc w:val="center"/>
              <w:outlineLvl w:val="9"/>
              <w:rPr>
                <w:rFonts w:asciiTheme="minorEastAsia" w:hAnsiTheme="minorEastAsia" w:eastAsiaTheme="minorEastAsia"/>
                <w:b/>
              </w:rPr>
            </w:pPr>
          </w:p>
        </w:tc>
        <w:tc>
          <w:tcPr>
            <w:tcW w:w="1134" w:type="dxa"/>
            <w:vAlign w:val="center"/>
          </w:tcPr>
          <w:p>
            <w:pPr>
              <w:widowControl w:val="0"/>
              <w:autoSpaceDE w:val="0"/>
              <w:autoSpaceDN w:val="0"/>
              <w:snapToGrid/>
              <w:spacing w:line="240" w:lineRule="auto"/>
              <w:jc w:val="both"/>
              <w:outlineLvl w:val="9"/>
              <w:rPr>
                <w:rFonts w:asciiTheme="minorEastAsia" w:hAnsiTheme="minorEastAsia" w:eastAsiaTheme="minorEastAsia"/>
                <w:b/>
              </w:rPr>
            </w:pPr>
            <w:r>
              <w:rPr>
                <w:rFonts w:asciiTheme="minorEastAsia" w:hAnsiTheme="minorEastAsia" w:eastAsiaTheme="minorEastAsia"/>
                <w:b/>
                <w:bCs/>
                <w:sz w:val="18"/>
                <w:szCs w:val="18"/>
              </w:rPr>
              <w:t>燃油/燃气</w:t>
            </w:r>
          </w:p>
        </w:tc>
        <w:tc>
          <w:tcPr>
            <w:tcW w:w="1270" w:type="dxa"/>
            <w:vAlign w:val="center"/>
          </w:tcPr>
          <w:p>
            <w:pPr>
              <w:widowControl w:val="0"/>
              <w:autoSpaceDE w:val="0"/>
              <w:autoSpaceDN w:val="0"/>
              <w:snapToGrid/>
              <w:spacing w:line="240" w:lineRule="auto"/>
              <w:jc w:val="center"/>
              <w:outlineLvl w:val="9"/>
              <w:rPr>
                <w:rFonts w:ascii="Times New Roman"/>
              </w:rPr>
            </w:pPr>
            <w:r>
              <w:rPr>
                <w:rFonts w:ascii="Times New Roman"/>
              </w:rPr>
              <w:t>145.27</w:t>
            </w:r>
            <w:r>
              <w:rPr>
                <w:rFonts w:ascii="Times New Roman"/>
                <w:sz w:val="18"/>
                <w:szCs w:val="18"/>
              </w:rPr>
              <w:t>（150.0）</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rPr>
              <w:t>170.08</w:t>
            </w:r>
            <w:r>
              <w:rPr>
                <w:rFonts w:ascii="Times New Roman"/>
                <w:sz w:val="18"/>
                <w:szCs w:val="18"/>
              </w:rPr>
              <w:t>（174.81）</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210.98</w:t>
            </w:r>
            <w:r>
              <w:rPr>
                <w:rFonts w:ascii="Times New Roman"/>
                <w:bCs/>
                <w:sz w:val="18"/>
                <w:szCs w:val="18"/>
              </w:rPr>
              <w:t>（217.02）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274.36</w:t>
            </w:r>
            <w:r>
              <w:rPr>
                <w:rFonts w:ascii="Times New Roman"/>
                <w:bCs/>
                <w:sz w:val="18"/>
                <w:szCs w:val="18"/>
              </w:rPr>
              <w:t>（280.4）</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389.18</w:t>
            </w:r>
            <w:r>
              <w:rPr>
                <w:rFonts w:ascii="Times New Roman"/>
                <w:bCs/>
                <w:sz w:val="18"/>
                <w:szCs w:val="18"/>
              </w:rPr>
              <w:t>（395.22）</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486.97</w:t>
            </w:r>
            <w:r>
              <w:rPr>
                <w:rFonts w:ascii="Times New Roman"/>
                <w:bCs/>
                <w:sz w:val="18"/>
                <w:szCs w:val="18"/>
              </w:rPr>
              <w:t>（493.01）</w:t>
            </w:r>
          </w:p>
        </w:tc>
        <w:tc>
          <w:tcPr>
            <w:tcW w:w="1109" w:type="dxa"/>
            <w:vAlign w:val="center"/>
          </w:tcPr>
          <w:p>
            <w:pPr>
              <w:widowControl w:val="0"/>
              <w:autoSpaceDE w:val="0"/>
              <w:autoSpaceDN w:val="0"/>
              <w:snapToGrid/>
              <w:spacing w:line="240" w:lineRule="auto"/>
              <w:jc w:val="center"/>
              <w:outlineLvl w:val="9"/>
              <w:rPr>
                <w:rFonts w:ascii="Times New Roman"/>
              </w:rPr>
            </w:pPr>
            <w:r>
              <w:rPr>
                <w:rFonts w:ascii="Times New Roman"/>
                <w:bCs/>
              </w:rPr>
              <w:t>597.4</w:t>
            </w:r>
            <w:r>
              <w:rPr>
                <w:rFonts w:ascii="Times New Roman"/>
                <w:bCs/>
                <w:sz w:val="18"/>
                <w:szCs w:val="18"/>
              </w:rPr>
              <w:t>（603.44）</w:t>
            </w:r>
          </w:p>
        </w:tc>
      </w:tr>
    </w:tbl>
    <w:p>
      <w:pPr>
        <w:widowControl w:val="0"/>
        <w:adjustRightInd/>
        <w:snapToGrid/>
        <w:spacing w:line="240" w:lineRule="auto"/>
        <w:ind w:firstLine="420" w:firstLineChars="200"/>
        <w:jc w:val="both"/>
        <w:outlineLvl w:val="9"/>
        <w:rPr>
          <w:rFonts w:ascii="Times New Roman" w:eastAsia="宋体"/>
          <w:szCs w:val="22"/>
        </w:rPr>
      </w:pPr>
    </w:p>
    <w:p>
      <w:pPr>
        <w:numPr>
          <w:ilvl w:val="1"/>
          <w:numId w:val="3"/>
        </w:numPr>
        <w:adjustRightInd/>
        <w:snapToGrid/>
        <w:spacing w:before="156" w:beforeLines="50" w:after="156" w:afterLines="50" w:line="360" w:lineRule="exact"/>
        <w:rPr>
          <w:rFonts w:ascii="Times New Roman"/>
        </w:rPr>
      </w:pPr>
      <w:r>
        <w:rPr>
          <w:rFonts w:hint="eastAsia" w:ascii="Times New Roman"/>
        </w:rPr>
        <w:t>不同规模双季稻烘干中心成套设备配置及投资估算</w:t>
      </w:r>
    </w:p>
    <w:p>
      <w:pPr>
        <w:pStyle w:val="28"/>
        <w:spacing w:before="156" w:after="156" w:line="360" w:lineRule="exact"/>
        <w:rPr>
          <w:rFonts w:ascii="Times New Roman" w:eastAsia="宋体"/>
          <w:b/>
          <w:szCs w:val="24"/>
        </w:rPr>
      </w:pPr>
      <w:r>
        <w:rPr>
          <w:rFonts w:ascii="Times New Roman" w:eastAsia="宋体"/>
          <w:b/>
          <w:szCs w:val="24"/>
        </w:rPr>
        <w:t xml:space="preserve">6.2.1 </w:t>
      </w:r>
      <w:r>
        <w:rPr>
          <w:rFonts w:hint="eastAsia" w:ascii="Times New Roman" w:eastAsia="宋体"/>
          <w:b/>
          <w:szCs w:val="24"/>
        </w:rPr>
        <w:t>Ⅰ 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表5  Ⅰ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694"/>
        <w:gridCol w:w="709"/>
        <w:gridCol w:w="567"/>
        <w:gridCol w:w="708"/>
        <w:gridCol w:w="709"/>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技术要求</w:t>
            </w:r>
          </w:p>
        </w:tc>
        <w:tc>
          <w:tcPr>
            <w:tcW w:w="694"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6"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417"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28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94"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709"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567"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708"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709"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28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额定载荷≥50T。主要包括承载器、称重显示仪表、称重传感器等零部件。灵敏度：2.0±0.002MV/V。综合误差：±0.02%F.S，0.03%F.S。</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7.66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7.66</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推荐指标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2.18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2.18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处理量≥30T。大杂清除率≥90%。大杂含粮率≤2%。小杂清除率≥60%。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2.55</w:t>
            </w:r>
            <w:r>
              <w:rPr>
                <w:rFonts w:ascii="Times New Roman" w:eastAsia="宋体"/>
                <w:bCs/>
                <w:sz w:val="15"/>
                <w:szCs w:val="15"/>
              </w:rPr>
              <w:t>（7.28）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2.55</w:t>
            </w:r>
            <w:r>
              <w:rPr>
                <w:rFonts w:ascii="Times New Roman" w:eastAsia="宋体"/>
                <w:bCs/>
                <w:sz w:val="15"/>
                <w:szCs w:val="15"/>
              </w:rPr>
              <w:t>（7.28）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2.21</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2.21</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容量≥40t。室外安装的应采用镀锌钢板制作。</w:t>
            </w:r>
            <w:r>
              <w:rPr>
                <w:rFonts w:hint="eastAsia" w:ascii="Times New Roman" w:eastAsia="宋体"/>
                <w:bCs/>
                <w:sz w:val="18"/>
                <w:szCs w:val="18"/>
              </w:rPr>
              <w:t>应配置通风设备和高、低料位器。锥底料斗溜角≥</w:t>
            </w:r>
            <w:r>
              <w:rPr>
                <w:rFonts w:ascii="Times New Roman" w:eastAsia="宋体"/>
                <w:bCs/>
                <w:sz w:val="18"/>
                <w:szCs w:val="18"/>
              </w:rPr>
              <w:t>45</w:t>
            </w:r>
            <w:r>
              <w:rPr>
                <w:rFonts w:hint="eastAsia" w:ascii="Times New Roman" w:eastAsia="宋体"/>
                <w:bCs/>
                <w:sz w:val="18"/>
                <w:szCs w:val="18"/>
              </w:rPr>
              <w:t>°</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2.26</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1" w:hRule="atLeast"/>
          <w:jc w:val="center"/>
        </w:trPr>
        <w:tc>
          <w:tcPr>
            <w:tcW w:w="846" w:type="dxa"/>
            <w:vMerge w:val="restart"/>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批次处理量20t。干燥速率0.3%/h～1.0%/h。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17.36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34.72</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批次处理量20t。干燥速率0.3%/h～1.0%/h。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17.36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34.72</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生物质颗粒热风炉</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输出热量40×10</w:t>
            </w:r>
            <w:r>
              <w:rPr>
                <w:rFonts w:ascii="Times New Roman" w:eastAsia="宋体"/>
                <w:bCs/>
                <w:sz w:val="18"/>
                <w:szCs w:val="18"/>
                <w:vertAlign w:val="superscript"/>
              </w:rPr>
              <w:t>4</w:t>
            </w:r>
            <w:r>
              <w:rPr>
                <w:rFonts w:ascii="Times New Roman" w:eastAsia="宋体"/>
                <w:bCs/>
                <w:sz w:val="18"/>
                <w:szCs w:val="18"/>
              </w:rPr>
              <w:t>kcal/h，热效率≥80%。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输出热量40×10</w:t>
            </w:r>
            <w:r>
              <w:rPr>
                <w:rFonts w:ascii="Times New Roman" w:eastAsia="宋体"/>
                <w:bCs/>
                <w:sz w:val="18"/>
                <w:szCs w:val="18"/>
                <w:vertAlign w:val="superscript"/>
              </w:rPr>
              <w:t>4</w:t>
            </w:r>
            <w:r>
              <w:rPr>
                <w:rFonts w:ascii="Times New Roman" w:eastAsia="宋体"/>
                <w:bCs/>
                <w:sz w:val="18"/>
                <w:szCs w:val="18"/>
              </w:rPr>
              <w:t>kcal/h，热效率≥80%。。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1.06</w:t>
            </w:r>
          </w:p>
        </w:tc>
        <w:tc>
          <w:tcPr>
            <w:tcW w:w="1281"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2.21</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2.21</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容量≥40t。室外安装的应采用镀锌钢板制作。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1.32</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10216 电控配电用电缆桥架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30m×18m×14.5m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540㎡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43.2</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6m×6m×8m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2.52</w:t>
            </w:r>
          </w:p>
        </w:tc>
        <w:tc>
          <w:tcPr>
            <w:tcW w:w="1281"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402"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86.6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90"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148.27（153.0）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402"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84.6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90"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145.27（150.0）</w:t>
            </w:r>
          </w:p>
        </w:tc>
      </w:tr>
    </w:tbl>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6.2.2 </w:t>
      </w:r>
      <w:r>
        <w:rPr>
          <w:rFonts w:hint="eastAsia" w:ascii="Times New Roman" w:eastAsia="宋体"/>
          <w:b/>
          <w:szCs w:val="24"/>
        </w:rPr>
        <w:t>Ⅱ</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表6  Ⅱ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694"/>
        <w:gridCol w:w="709"/>
        <w:gridCol w:w="567"/>
        <w:gridCol w:w="708"/>
        <w:gridCol w:w="709"/>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694"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6"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417"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28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94"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709"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567"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708"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709"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28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≥50T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7.66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7.66</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推荐指标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2.18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2.18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处理量≥30T/h。大杂清除率≥90%。大杂含粮率≤2%。小杂清除率≥60%。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2.55</w:t>
            </w:r>
            <w:r>
              <w:rPr>
                <w:rFonts w:ascii="Times New Roman" w:eastAsia="宋体"/>
                <w:bCs/>
                <w:sz w:val="15"/>
                <w:szCs w:val="15"/>
              </w:rPr>
              <w:t>（7.28）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2.55</w:t>
            </w:r>
            <w:r>
              <w:rPr>
                <w:rFonts w:ascii="Times New Roman" w:eastAsia="宋体"/>
                <w:bCs/>
                <w:sz w:val="15"/>
                <w:szCs w:val="15"/>
              </w:rPr>
              <w:t>（7.28）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容量≥60t。室外安装的应采用镀锌钢板制作。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批次处理量30t。干燥速率0.3%/h～1.0%/h。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34.3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52.08</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Merge w:val="continue"/>
            <w:vAlign w:val="center"/>
          </w:tcPr>
          <w:p>
            <w:pPr>
              <w:widowControl w:val="0"/>
              <w:adjustRightInd/>
              <w:snapToGrid/>
              <w:spacing w:line="200" w:lineRule="exact"/>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34.3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52.08</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输出热量30×10</w:t>
            </w:r>
            <w:r>
              <w:rPr>
                <w:rFonts w:ascii="Times New Roman" w:eastAsia="宋体"/>
                <w:bCs/>
                <w:sz w:val="18"/>
                <w:szCs w:val="18"/>
                <w:vertAlign w:val="superscript"/>
              </w:rPr>
              <w:t>4</w:t>
            </w:r>
            <w:r>
              <w:rPr>
                <w:rFonts w:ascii="Times New Roman" w:eastAsia="宋体"/>
                <w:bCs/>
                <w:sz w:val="18"/>
                <w:szCs w:val="18"/>
              </w:rPr>
              <w:t>kcal/h。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1.06</w:t>
            </w:r>
          </w:p>
        </w:tc>
        <w:tc>
          <w:tcPr>
            <w:tcW w:w="1281"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容量≥60t。室外安装的应采用镀锌钢板制作。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输送量≥30T/h。刮板机输送过程中无粉尘泄露。</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1281"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1.32</w:t>
            </w:r>
          </w:p>
        </w:tc>
        <w:tc>
          <w:tcPr>
            <w:tcW w:w="1281"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T12706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30m×18m×15.1m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540㎡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45.9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9m×6.6m×8m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59.4㎡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4.16</w:t>
            </w:r>
          </w:p>
        </w:tc>
        <w:tc>
          <w:tcPr>
            <w:tcW w:w="1281" w:type="dxa"/>
            <w:vAlign w:val="center"/>
          </w:tcPr>
          <w:p>
            <w:pPr>
              <w:widowControl w:val="0"/>
              <w:adjustRightInd/>
              <w:snapToGrid/>
              <w:spacing w:line="200" w:lineRule="exact"/>
              <w:jc w:val="center"/>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合计</w:t>
            </w:r>
          </w:p>
        </w:tc>
        <w:tc>
          <w:tcPr>
            <w:tcW w:w="3402"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102.3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90" w:type="dxa"/>
            <w:gridSpan w:val="2"/>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177.88（182.61）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402"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98.3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90" w:type="dxa"/>
            <w:gridSpan w:val="2"/>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170.08（174.81）</w:t>
            </w:r>
          </w:p>
        </w:tc>
      </w:tr>
    </w:tbl>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6.2.3 </w:t>
      </w:r>
      <w:r>
        <w:rPr>
          <w:rFonts w:hint="eastAsia" w:ascii="Times New Roman" w:eastAsia="宋体"/>
          <w:b/>
          <w:szCs w:val="24"/>
        </w:rPr>
        <w:t>Ⅲ</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表7  Ⅲ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≥100T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处理量≥50T/h。大杂清除率≥90%。大杂含粮率≤2%。小杂清除率≥60%。</w:t>
            </w:r>
          </w:p>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容量≥80t。室外安装的应采用镀锌钢板制作。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69.44</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69.44</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输出热量80×10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输出热量20×10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容量≥80t。室外安装的应采用镀锌钢板制作。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1.84</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4.4</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32m×18m×14.5m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576㎡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46.08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12m×6.6m×8m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79.2㎡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5.54</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216.98（223.02）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126.2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210.98（217.02）</w:t>
            </w:r>
          </w:p>
        </w:tc>
      </w:tr>
    </w:tbl>
    <w:p>
      <w:pPr>
        <w:tabs>
          <w:tab w:val="center" w:pos="4201"/>
          <w:tab w:val="right" w:leader="dot" w:pos="9298"/>
        </w:tabs>
        <w:autoSpaceDE w:val="0"/>
        <w:autoSpaceDN w:val="0"/>
        <w:adjustRightInd/>
        <w:snapToGrid/>
        <w:spacing w:line="240" w:lineRule="auto"/>
        <w:ind w:firstLine="420" w:firstLineChars="200"/>
        <w:jc w:val="both"/>
        <w:outlineLvl w:val="9"/>
        <w:rPr>
          <w:rFonts w:ascii="Times New Roman" w:eastAsia="宋体"/>
          <w:kern w:val="2"/>
          <w:szCs w:val="22"/>
        </w:rPr>
      </w:pPr>
    </w:p>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宋体"/>
          <w:szCs w:val="22"/>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6.2.4 </w:t>
      </w:r>
      <w:r>
        <w:rPr>
          <w:rFonts w:hint="eastAsia" w:ascii="Times New Roman" w:eastAsia="宋体"/>
          <w:b/>
          <w:szCs w:val="24"/>
        </w:rPr>
        <w:t>Ⅳ</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表8  Ⅳ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≥100T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处理量≥50T/h。大杂清除率≥90%。大杂含粮率≤2%。小杂清除率≥60%。</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容量≥120t。室外安装的应采用镀锌钢板制作。</w:t>
            </w:r>
            <w:r>
              <w:rPr>
                <w:rFonts w:hint="eastAsia" w:ascii="Times New Roman" w:eastAsia="宋体"/>
                <w:bCs/>
                <w:sz w:val="18"/>
                <w:szCs w:val="18"/>
              </w:rPr>
              <w:t>应配置通风设备和高、低料位器。锥底料斗溜角≥45°。</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104.16</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Merge w:val="continue"/>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104.16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25.6</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输出热量30×10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容量≥120t。室外安装的应采用镀锌钢板制作。</w:t>
            </w:r>
            <w:r>
              <w:rPr>
                <w:rFonts w:hint="eastAsia" w:ascii="Times New Roman" w:eastAsia="宋体"/>
                <w:bCs/>
                <w:sz w:val="18"/>
                <w:szCs w:val="18"/>
              </w:rPr>
              <w:t>应配置通风设备和高、低料位器。锥底料斗溜角≥45°。</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1.84</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37.5m×18m×17m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67.5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18m×6.6m×8m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118.8㎡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8.32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289.96（296）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151.6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274.36（280.4）</w:t>
            </w:r>
          </w:p>
        </w:tc>
      </w:tr>
    </w:tbl>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宋体"/>
          <w:szCs w:val="22"/>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6.2.5 </w:t>
      </w:r>
      <w:r>
        <w:rPr>
          <w:rFonts w:hint="eastAsia" w:ascii="Times New Roman" w:eastAsia="宋体"/>
          <w:b/>
          <w:szCs w:val="24"/>
        </w:rPr>
        <w:t>Ⅴ</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表9  Ⅴ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≥100T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处理量≥50T/h。大杂清除率≥90%。大杂含粮率≤2%。小杂清除率≥60%。</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单座容量≥90t。室外安装的应采用镀锌钢板制作。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102.9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156.24</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Merge w:val="continue"/>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102.9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156.24</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38.4</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输出热量30×10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1.88</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单座容量≥90t。室外安装的应采用镀锌钢板制作。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5.77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5.77</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2.64</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T 12706额定电压1kV到35kV挤包绝缘电力电缆及附件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7.2</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6.99</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52.5m×18m×15.5m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945㎡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85.05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27m×6.6m×8m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178.2㎡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12.47</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230.9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412.58（418.62）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389.18（395.22）</w:t>
            </w:r>
          </w:p>
        </w:tc>
      </w:tr>
    </w:tbl>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宋体"/>
          <w:szCs w:val="22"/>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6.2.6 </w:t>
      </w:r>
      <w:r>
        <w:rPr>
          <w:rFonts w:hint="eastAsia" w:ascii="Times New Roman" w:eastAsia="宋体"/>
          <w:b/>
          <w:szCs w:val="24"/>
        </w:rPr>
        <w:t>Ⅵ</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表10  Ⅵ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≥100T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处理量≥50T/h。大杂清除率≥90%。大杂含粮率≤2%。小杂清除率≥60%。</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单座容量≥120t。室外安装的应采用镀锌钢板制作。</w:t>
            </w:r>
            <w:r>
              <w:rPr>
                <w:rFonts w:hint="eastAsia" w:ascii="Times New Roman" w:eastAsia="宋体"/>
                <w:bCs/>
                <w:sz w:val="18"/>
                <w:szCs w:val="18"/>
              </w:rPr>
              <w:t>应配置通风设备和高、低料位器。锥底料斗溜角≥45°。</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28.12</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208.32</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Merge w:val="continue"/>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208.32</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51.2</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输出热量30×10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单座容量≥120t。室外安装的应采用镀锌钢板制作。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14.06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28.12</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6.39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6.39</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8.17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8.17</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6.0</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9.32</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60m×18m×17m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35m×6.6m×8m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16.17</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269.2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518.17（524.21）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253.2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486.97（493.01）</w:t>
            </w:r>
          </w:p>
        </w:tc>
      </w:tr>
    </w:tbl>
    <w:p>
      <w:pPr>
        <w:widowControl w:val="0"/>
        <w:adjustRightInd/>
        <w:snapToGrid/>
        <w:spacing w:line="240" w:lineRule="auto"/>
        <w:ind w:firstLine="361" w:firstLineChars="200"/>
        <w:jc w:val="both"/>
        <w:outlineLvl w:val="9"/>
        <w:rPr>
          <w:rFonts w:ascii="Times New Roman" w:eastAsia="仿宋"/>
          <w:b/>
          <w:sz w:val="18"/>
          <w:szCs w:val="18"/>
        </w:rPr>
      </w:pPr>
      <w:r>
        <w:rPr>
          <w:rFonts w:ascii="Times New Roman" w:eastAsia="仿宋"/>
          <w:b/>
          <w:sz w:val="18"/>
          <w:szCs w:val="18"/>
        </w:rPr>
        <w:t>注：1.表中二原粮预处理系统中清选机价格为圆筒初清筛参考价格，（）内价格为组合筛参考价格。</w:t>
      </w:r>
    </w:p>
    <w:p>
      <w:pPr>
        <w:tabs>
          <w:tab w:val="center" w:pos="4201"/>
          <w:tab w:val="right" w:leader="dot" w:pos="9298"/>
        </w:tabs>
        <w:autoSpaceDE w:val="0"/>
        <w:autoSpaceDN w:val="0"/>
        <w:adjustRightInd/>
        <w:snapToGrid/>
        <w:spacing w:line="240" w:lineRule="auto"/>
        <w:ind w:firstLine="361" w:firstLineChars="200"/>
        <w:jc w:val="both"/>
        <w:outlineLvl w:val="9"/>
        <w:rPr>
          <w:rFonts w:ascii="Times New Roman" w:eastAsia="宋体"/>
          <w:szCs w:val="22"/>
        </w:rPr>
      </w:pPr>
      <w:r>
        <w:rPr>
          <w:rFonts w:ascii="Times New Roman" w:eastAsia="仿宋"/>
          <w:b/>
          <w:sz w:val="18"/>
          <w:szCs w:val="18"/>
        </w:rPr>
        <w:t xml:space="preserve">    2.表中合计部分价格是指采用圆筒初清筛的设备总投资，（）内价格为采用组合筛的设备总投资。</w:t>
      </w:r>
    </w:p>
    <w:p>
      <w:pPr>
        <w:pStyle w:val="28"/>
        <w:spacing w:before="156" w:after="156" w:line="360" w:lineRule="exact"/>
        <w:rPr>
          <w:rFonts w:ascii="Times New Roman" w:eastAsia="宋体"/>
          <w:b/>
          <w:szCs w:val="24"/>
        </w:rPr>
      </w:pPr>
      <w:r>
        <w:rPr>
          <w:rFonts w:ascii="Times New Roman" w:eastAsia="宋体"/>
          <w:b/>
          <w:szCs w:val="24"/>
        </w:rPr>
        <w:t xml:space="preserve">6.2.7 </w:t>
      </w:r>
      <w:r>
        <w:rPr>
          <w:rFonts w:hint="eastAsia" w:ascii="Times New Roman" w:eastAsia="宋体"/>
          <w:b/>
          <w:szCs w:val="24"/>
        </w:rPr>
        <w:t>Ⅶ</w:t>
      </w:r>
      <w:r>
        <w:rPr>
          <w:rFonts w:ascii="Times New Roman" w:eastAsia="宋体"/>
          <w:b/>
          <w:szCs w:val="24"/>
        </w:rPr>
        <w:t xml:space="preserve"> </w:t>
      </w:r>
      <w:r>
        <w:rPr>
          <w:rFonts w:hint="eastAsia" w:ascii="Times New Roman" w:eastAsia="宋体"/>
          <w:b/>
          <w:szCs w:val="24"/>
        </w:rPr>
        <w:t>型稻谷烘干中心成套设备配置及投资估算</w:t>
      </w:r>
    </w:p>
    <w:p>
      <w:pPr>
        <w:widowControl w:val="0"/>
        <w:autoSpaceDE w:val="0"/>
        <w:autoSpaceDN w:val="0"/>
        <w:snapToGrid/>
        <w:spacing w:line="240" w:lineRule="auto"/>
        <w:jc w:val="center"/>
        <w:outlineLvl w:val="9"/>
        <w:rPr>
          <w:rFonts w:ascii="Times New Roman"/>
        </w:rPr>
      </w:pPr>
      <w:r>
        <w:rPr>
          <w:rFonts w:ascii="Times New Roman"/>
        </w:rPr>
        <w:t>表11  Ⅶ 型稻谷烘干中心成套设备配置及投资估算</w:t>
      </w:r>
    </w:p>
    <w:tbl>
      <w:tblPr>
        <w:tblStyle w:val="5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≥100T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8.26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卸粮斗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3000×3000×3000。采用钢板厚度≥2㎜。</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2.85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处理量≥50T/h。大杂清除率≥90%。大杂含粮率≤2%。小杂清除率≥60%。</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2.63</w:t>
            </w:r>
            <w:r>
              <w:rPr>
                <w:rFonts w:ascii="Times New Roman" w:eastAsia="宋体"/>
                <w:bCs/>
                <w:sz w:val="15"/>
                <w:szCs w:val="15"/>
              </w:rPr>
              <w:t>（8.67）</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26893 粮油机械 圆筒初清筛</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NY/T 2844 双层圆筒初清筛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单座容量≥100t。室外安装的应采用镀锌钢板制作。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13.88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41.64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2.96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批次处理量30t。干燥速率0.3%/h～1.0%/h。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Merge w:val="continue"/>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260.4</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64</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 xml:space="preserve">TSG ZB001 </w:t>
            </w:r>
            <w:r>
              <w:rPr>
                <w:rFonts w:hint="eastAsia" w:ascii="Times New Roman" w:eastAsia="宋体"/>
                <w:bCs/>
                <w:sz w:val="18"/>
                <w:szCs w:val="18"/>
              </w:rPr>
              <w:t>燃油(气)燃烧器安全技术规则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vAlign w:val="center"/>
          </w:tcPr>
          <w:p>
            <w:pPr>
              <w:widowControl w:val="0"/>
              <w:adjustRightInd/>
              <w:snapToGrid/>
              <w:spacing w:line="200" w:lineRule="exact"/>
              <w:outlineLvl w:val="9"/>
              <w:rPr>
                <w:rFonts w:ascii="Times New Roman" w:eastAsia="宋体"/>
                <w:bCs/>
                <w:sz w:val="18"/>
                <w:szCs w:val="18"/>
              </w:rPr>
            </w:pP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燃油/</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燃气</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输出热量30×10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6.91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刮板机/皮带输送机平台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2.72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单座容量≥100t。室外安装的应采用镀锌钢板制作。</w:t>
            </w:r>
            <w:r>
              <w:rPr>
                <w:rFonts w:hint="eastAsia" w:ascii="Times New Roman" w:eastAsia="宋体"/>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13.88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41.64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7#刮板机/皮带输送机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输送量≥50T/h。刮板机输送过程中无粉尘泄露。</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10596 埋刮板输送机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4.8</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7.2</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11.65</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72m×18m×15.5m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116.64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42m×6.6m×8m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277.2㎡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19.40</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335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636.4（642.44）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燃油/燃气</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597.4（603.44）</w:t>
            </w:r>
          </w:p>
        </w:tc>
      </w:tr>
      <w:bookmarkEnd w:id="125"/>
      <w:bookmarkEnd w:id="126"/>
    </w:tbl>
    <w:p>
      <w:pPr>
        <w:widowControl w:val="0"/>
        <w:adjustRightInd/>
        <w:snapToGrid/>
        <w:spacing w:line="240" w:lineRule="auto"/>
        <w:ind w:firstLine="361" w:firstLineChars="200"/>
        <w:jc w:val="both"/>
        <w:outlineLvl w:val="9"/>
        <w:rPr>
          <w:rFonts w:ascii="Times New Roman" w:eastAsia="仿宋"/>
          <w:b/>
          <w:sz w:val="18"/>
          <w:szCs w:val="18"/>
        </w:rPr>
      </w:pPr>
      <w:bookmarkStart w:id="127" w:name="_Toc110600919"/>
      <w:r>
        <w:rPr>
          <w:rFonts w:ascii="Times New Roman" w:eastAsia="仿宋"/>
          <w:b/>
          <w:sz w:val="18"/>
          <w:szCs w:val="18"/>
        </w:rPr>
        <w:t>注：1.表中二原粮预处理系统中清选机价格为圆筒初清筛参考价格，（）内价格为组合筛参考价格。</w:t>
      </w:r>
    </w:p>
    <w:p>
      <w:pPr>
        <w:widowControl w:val="0"/>
        <w:adjustRightInd/>
        <w:snapToGrid/>
        <w:spacing w:line="240" w:lineRule="auto"/>
        <w:ind w:firstLine="361" w:firstLineChars="200"/>
        <w:jc w:val="both"/>
        <w:outlineLvl w:val="9"/>
        <w:rPr>
          <w:rFonts w:ascii="Times New Roman" w:eastAsia="宋体"/>
          <w:szCs w:val="22"/>
        </w:rPr>
      </w:pPr>
      <w:r>
        <w:rPr>
          <w:rFonts w:ascii="Times New Roman" w:eastAsia="仿宋"/>
          <w:b/>
          <w:sz w:val="18"/>
          <w:szCs w:val="18"/>
        </w:rPr>
        <w:t xml:space="preserve">    2.表中合计部分价格是指采用圆筒初清筛的设备总投资，（）内价格为采用组合筛的设备总投资。</w:t>
      </w:r>
    </w:p>
    <w:p>
      <w:pPr>
        <w:pStyle w:val="29"/>
        <w:numPr>
          <w:ilvl w:val="0"/>
          <w:numId w:val="3"/>
        </w:numPr>
        <w:spacing w:before="156" w:beforeLines="50" w:after="156" w:afterLines="50" w:line="480" w:lineRule="auto"/>
        <w:ind w:left="0"/>
        <w:rPr>
          <w:rFonts w:ascii="Times New Roman"/>
        </w:rPr>
      </w:pPr>
      <w:bookmarkStart w:id="128" w:name="_Toc116398192"/>
      <w:r>
        <w:rPr>
          <w:rFonts w:ascii="Times New Roman"/>
        </w:rPr>
        <w:t>安全与环保</w:t>
      </w:r>
      <w:bookmarkEnd w:id="128"/>
    </w:p>
    <w:p>
      <w:pPr>
        <w:pStyle w:val="28"/>
        <w:numPr>
          <w:ilvl w:val="1"/>
          <w:numId w:val="3"/>
        </w:numPr>
        <w:spacing w:before="156" w:after="156" w:line="360" w:lineRule="exact"/>
        <w:rPr>
          <w:rFonts w:ascii="Times New Roman"/>
        </w:rPr>
      </w:pPr>
      <w:r>
        <w:rPr>
          <w:rFonts w:ascii="Times New Roman"/>
        </w:rPr>
        <w:t>安全性要求</w:t>
      </w:r>
    </w:p>
    <w:p>
      <w:pPr>
        <w:pStyle w:val="28"/>
        <w:spacing w:before="156" w:after="156"/>
        <w:jc w:val="both"/>
        <w:rPr>
          <w:rFonts w:ascii="Times New Roman" w:eastAsia="宋体"/>
          <w:szCs w:val="24"/>
        </w:rPr>
      </w:pPr>
      <w:r>
        <w:rPr>
          <w:rFonts w:ascii="Times New Roman" w:eastAsia="宋体"/>
          <w:szCs w:val="24"/>
        </w:rPr>
        <w:t>7.1.1 烘干中心所选设备应符合GB 10395.1</w:t>
      </w:r>
      <w:r>
        <w:rPr>
          <w:rFonts w:hint="eastAsia" w:ascii="Times New Roman" w:eastAsia="宋体"/>
          <w:szCs w:val="24"/>
        </w:rPr>
        <w:t>和</w:t>
      </w:r>
      <w:r>
        <w:rPr>
          <w:rFonts w:ascii="Times New Roman" w:eastAsia="宋体"/>
          <w:szCs w:val="24"/>
        </w:rPr>
        <w:t>GB 10396中要求。</w:t>
      </w:r>
    </w:p>
    <w:p>
      <w:pPr>
        <w:pStyle w:val="28"/>
        <w:spacing w:before="156" w:after="156"/>
        <w:jc w:val="both"/>
        <w:rPr>
          <w:rFonts w:ascii="Times New Roman" w:eastAsia="宋体"/>
          <w:szCs w:val="24"/>
        </w:rPr>
      </w:pPr>
      <w:r>
        <w:rPr>
          <w:rFonts w:ascii="Times New Roman" w:eastAsia="宋体"/>
          <w:szCs w:val="24"/>
        </w:rPr>
        <w:t>7.1.2 电器控制应满足设计值和安全规范的要求。</w:t>
      </w:r>
    </w:p>
    <w:p>
      <w:pPr>
        <w:pStyle w:val="28"/>
        <w:spacing w:before="156" w:after="156"/>
        <w:jc w:val="both"/>
        <w:rPr>
          <w:rFonts w:ascii="Times New Roman" w:eastAsia="宋体"/>
          <w:szCs w:val="24"/>
        </w:rPr>
      </w:pPr>
      <w:r>
        <w:rPr>
          <w:rFonts w:ascii="Times New Roman" w:eastAsia="宋体"/>
          <w:szCs w:val="24"/>
        </w:rPr>
        <w:t>7.1.3 电器元件质量、型号、规格必须符合国家CCC标准要求。</w:t>
      </w:r>
    </w:p>
    <w:p>
      <w:pPr>
        <w:pStyle w:val="28"/>
        <w:spacing w:before="156" w:after="156"/>
        <w:jc w:val="both"/>
        <w:rPr>
          <w:rFonts w:ascii="Times New Roman" w:eastAsia="宋体"/>
          <w:szCs w:val="24"/>
        </w:rPr>
      </w:pPr>
      <w:r>
        <w:rPr>
          <w:rFonts w:ascii="Times New Roman" w:eastAsia="宋体"/>
          <w:szCs w:val="24"/>
        </w:rPr>
        <w:t>7.1.4 干燥机控制系统应设置过载和漏电保护装置。</w:t>
      </w:r>
    </w:p>
    <w:p>
      <w:pPr>
        <w:pStyle w:val="28"/>
        <w:spacing w:before="156" w:after="156"/>
        <w:jc w:val="both"/>
        <w:rPr>
          <w:rFonts w:ascii="Times New Roman" w:eastAsia="宋体"/>
          <w:szCs w:val="24"/>
        </w:rPr>
      </w:pPr>
      <w:r>
        <w:rPr>
          <w:rFonts w:ascii="Times New Roman" w:eastAsia="宋体"/>
          <w:szCs w:val="24"/>
        </w:rPr>
        <w:t>7.1.5 烘干中心在电气功能设计上要具备手动、自动两种功能，且可实现转换。</w:t>
      </w:r>
    </w:p>
    <w:p>
      <w:pPr>
        <w:pStyle w:val="28"/>
        <w:spacing w:before="156" w:after="156"/>
        <w:jc w:val="both"/>
        <w:rPr>
          <w:rFonts w:ascii="Times New Roman" w:eastAsia="宋体"/>
          <w:szCs w:val="24"/>
        </w:rPr>
      </w:pPr>
      <w:r>
        <w:rPr>
          <w:rFonts w:ascii="Times New Roman" w:eastAsia="宋体"/>
          <w:szCs w:val="24"/>
        </w:rPr>
        <w:t>7.1.6 应能进行设备顺序起停，并具备电器连锁功能，有故障报警、指示灯。</w:t>
      </w:r>
    </w:p>
    <w:p>
      <w:pPr>
        <w:pStyle w:val="28"/>
        <w:spacing w:before="156" w:after="156"/>
        <w:jc w:val="both"/>
        <w:rPr>
          <w:rFonts w:ascii="Times New Roman" w:eastAsia="宋体"/>
          <w:szCs w:val="24"/>
        </w:rPr>
      </w:pPr>
      <w:r>
        <w:rPr>
          <w:rFonts w:ascii="Times New Roman" w:eastAsia="宋体"/>
          <w:szCs w:val="24"/>
        </w:rPr>
        <w:t>7.1.7 干燥机控制系统应设置温度自动控制和超温报警装置。</w:t>
      </w:r>
    </w:p>
    <w:p>
      <w:pPr>
        <w:pStyle w:val="28"/>
        <w:spacing w:before="156" w:after="156"/>
        <w:jc w:val="both"/>
        <w:rPr>
          <w:rFonts w:ascii="Times New Roman" w:eastAsia="宋体"/>
          <w:szCs w:val="24"/>
        </w:rPr>
      </w:pPr>
      <w:r>
        <w:rPr>
          <w:rFonts w:ascii="Times New Roman" w:eastAsia="宋体"/>
          <w:szCs w:val="24"/>
        </w:rPr>
        <w:t>7.1.8 装设的钢梯、扶手、护栏和平台等及防护装置应符合GB 4053.1和GB 4053.3的规定，护栏高度应≥1100mm，距离地面3000mm以上的爬梯应安装护栏。</w:t>
      </w:r>
    </w:p>
    <w:p>
      <w:pPr>
        <w:pStyle w:val="28"/>
        <w:spacing w:before="156" w:after="156"/>
        <w:jc w:val="both"/>
        <w:rPr>
          <w:rFonts w:ascii="Times New Roman" w:eastAsia="宋体"/>
          <w:szCs w:val="24"/>
        </w:rPr>
      </w:pPr>
      <w:r>
        <w:rPr>
          <w:rFonts w:ascii="Times New Roman" w:eastAsia="宋体"/>
          <w:szCs w:val="24"/>
        </w:rPr>
        <w:t>7.1.9 采用燃油、燃气为燃料时，燃烧器应设置自动点火装置和熄火自动切断油、气路的装置及地震自动熄火装置。</w:t>
      </w:r>
    </w:p>
    <w:p>
      <w:pPr>
        <w:pStyle w:val="28"/>
        <w:spacing w:before="156" w:after="156"/>
        <w:jc w:val="both"/>
        <w:rPr>
          <w:rFonts w:ascii="Times New Roman" w:eastAsia="宋体"/>
          <w:szCs w:val="24"/>
        </w:rPr>
      </w:pPr>
      <w:r>
        <w:rPr>
          <w:rFonts w:ascii="Times New Roman" w:eastAsia="宋体"/>
          <w:szCs w:val="24"/>
        </w:rPr>
        <w:t>7.1.10 采用天然气为热源，天然气系统应安装气体流量表等，天然气管道系统、储气瓶组与减压装置等应由燃气公司（部门）指派专业人员安装，且通过消防安全验收。</w:t>
      </w:r>
    </w:p>
    <w:p>
      <w:pPr>
        <w:pStyle w:val="28"/>
        <w:spacing w:before="156" w:after="156"/>
        <w:jc w:val="both"/>
        <w:rPr>
          <w:rFonts w:ascii="Times New Roman" w:eastAsia="宋体"/>
          <w:szCs w:val="24"/>
        </w:rPr>
      </w:pPr>
      <w:r>
        <w:rPr>
          <w:rFonts w:ascii="Times New Roman" w:eastAsia="宋体"/>
          <w:szCs w:val="24"/>
        </w:rPr>
        <w:t>7.1.11 专用蒸汽锅炉应安装安全阀、压力表、温度表、流量计和高低水位自动报警装置等，且应经国家授权的锅炉检验机构检验合格。</w:t>
      </w:r>
    </w:p>
    <w:p>
      <w:pPr>
        <w:pStyle w:val="28"/>
        <w:spacing w:before="156" w:after="156"/>
        <w:jc w:val="both"/>
        <w:rPr>
          <w:rFonts w:ascii="Times New Roman" w:eastAsia="宋体"/>
          <w:szCs w:val="24"/>
        </w:rPr>
      </w:pPr>
      <w:r>
        <w:rPr>
          <w:rFonts w:ascii="Times New Roman" w:eastAsia="宋体"/>
          <w:szCs w:val="24"/>
        </w:rPr>
        <w:t>7.1.12 干燥机单体顶部应设置防止操作人员坠落的安全防护网或防护栅栏。</w:t>
      </w:r>
    </w:p>
    <w:p>
      <w:pPr>
        <w:pStyle w:val="28"/>
        <w:spacing w:before="156" w:after="156"/>
        <w:jc w:val="both"/>
        <w:rPr>
          <w:rFonts w:ascii="Times New Roman" w:eastAsia="宋体"/>
          <w:szCs w:val="24"/>
        </w:rPr>
      </w:pPr>
      <w:r>
        <w:rPr>
          <w:rFonts w:ascii="Times New Roman" w:eastAsia="宋体"/>
          <w:szCs w:val="24"/>
        </w:rPr>
        <w:t>7.1.13 提升机塔架踏板应使用踏花钢板制造。</w:t>
      </w:r>
    </w:p>
    <w:p>
      <w:pPr>
        <w:pStyle w:val="28"/>
        <w:spacing w:before="156" w:after="156"/>
        <w:jc w:val="both"/>
        <w:rPr>
          <w:rFonts w:ascii="Times New Roman" w:eastAsia="宋体"/>
          <w:szCs w:val="24"/>
        </w:rPr>
      </w:pPr>
      <w:r>
        <w:rPr>
          <w:rFonts w:ascii="Times New Roman" w:eastAsia="宋体"/>
          <w:szCs w:val="24"/>
        </w:rPr>
        <w:t>7.1.14 外露运动件及风机进风口应安装防护装置，防护装置的结构、安全距离应符合GB/T 23821的规定。</w:t>
      </w:r>
    </w:p>
    <w:p>
      <w:pPr>
        <w:pStyle w:val="28"/>
        <w:spacing w:before="156" w:after="156"/>
        <w:jc w:val="both"/>
        <w:rPr>
          <w:rFonts w:ascii="Times New Roman" w:eastAsia="宋体"/>
          <w:szCs w:val="24"/>
        </w:rPr>
      </w:pPr>
      <w:r>
        <w:rPr>
          <w:rFonts w:ascii="Times New Roman" w:eastAsia="宋体"/>
          <w:szCs w:val="24"/>
        </w:rPr>
        <w:t>7.1.15 在有潜在危险的部位，应固定永久性安全警示标志，安全标志应符合GB 10369的规定。</w:t>
      </w:r>
    </w:p>
    <w:p>
      <w:pPr>
        <w:pStyle w:val="28"/>
        <w:spacing w:before="156" w:after="156"/>
        <w:jc w:val="both"/>
        <w:rPr>
          <w:rFonts w:ascii="Times New Roman" w:eastAsia="宋体"/>
          <w:szCs w:val="24"/>
        </w:rPr>
      </w:pPr>
      <w:r>
        <w:rPr>
          <w:rFonts w:ascii="Times New Roman" w:eastAsia="宋体"/>
          <w:szCs w:val="24"/>
        </w:rPr>
        <w:t>7.1.16 烘干中心应在相应位置设置消防安全标志，设置位置应符合GB 15630设置要求，消防安全标志应符合GB 13495.1的规定。</w:t>
      </w:r>
    </w:p>
    <w:p>
      <w:pPr>
        <w:pStyle w:val="28"/>
        <w:spacing w:before="156" w:after="156"/>
        <w:jc w:val="both"/>
        <w:rPr>
          <w:rFonts w:ascii="Times New Roman" w:eastAsia="宋体"/>
          <w:szCs w:val="24"/>
        </w:rPr>
      </w:pPr>
      <w:r>
        <w:rPr>
          <w:rFonts w:ascii="Times New Roman" w:eastAsia="宋体"/>
          <w:szCs w:val="24"/>
        </w:rPr>
        <w:t>7.1.17 干燥作业现场应配置与燃料相适应的灭火装置。</w:t>
      </w:r>
    </w:p>
    <w:p>
      <w:pPr>
        <w:pStyle w:val="28"/>
        <w:spacing w:before="156" w:after="156"/>
        <w:jc w:val="both"/>
        <w:rPr>
          <w:rFonts w:ascii="Times New Roman" w:eastAsia="宋体"/>
          <w:szCs w:val="24"/>
        </w:rPr>
      </w:pPr>
      <w:r>
        <w:rPr>
          <w:rFonts w:ascii="Times New Roman" w:eastAsia="宋体"/>
          <w:szCs w:val="24"/>
        </w:rPr>
        <w:t>7.1.18 烘干机（塔）房和除尘室应注意防爆安全，应符合GB 17440和GB 15577规定。</w:t>
      </w:r>
    </w:p>
    <w:p>
      <w:pPr>
        <w:pStyle w:val="28"/>
        <w:spacing w:before="156" w:after="156"/>
        <w:jc w:val="both"/>
        <w:rPr>
          <w:rFonts w:ascii="Times New Roman" w:eastAsia="宋体"/>
          <w:szCs w:val="24"/>
        </w:rPr>
      </w:pPr>
      <w:r>
        <w:rPr>
          <w:rFonts w:ascii="Times New Roman" w:eastAsia="宋体"/>
          <w:szCs w:val="24"/>
        </w:rPr>
        <w:t>7.1.19 烘前仓与烘后仓应设置防爆口。与粉尘接触的电气设备应采用防爆装置。</w:t>
      </w:r>
    </w:p>
    <w:p>
      <w:pPr>
        <w:pStyle w:val="28"/>
        <w:numPr>
          <w:ilvl w:val="1"/>
          <w:numId w:val="3"/>
        </w:numPr>
        <w:spacing w:before="156" w:after="156" w:line="360" w:lineRule="exact"/>
        <w:rPr>
          <w:rFonts w:ascii="Times New Roman"/>
        </w:rPr>
      </w:pPr>
      <w:r>
        <w:rPr>
          <w:rFonts w:ascii="Times New Roman"/>
        </w:rPr>
        <w:t>环保要求</w:t>
      </w:r>
    </w:p>
    <w:p>
      <w:pPr>
        <w:pStyle w:val="28"/>
        <w:spacing w:before="156" w:after="156"/>
        <w:jc w:val="both"/>
        <w:rPr>
          <w:rFonts w:ascii="Times New Roman" w:eastAsia="宋体"/>
          <w:szCs w:val="24"/>
        </w:rPr>
      </w:pPr>
      <w:r>
        <w:rPr>
          <w:rFonts w:ascii="Times New Roman" w:eastAsia="宋体"/>
          <w:szCs w:val="24"/>
        </w:rPr>
        <w:t>7.2.1 烘干中心操作室噪声不超过70dB（A）；工作环境噪声不超过85dB（A）；风机处不超过92dB（A）。其他区域参照参照GB 3096</w:t>
      </w:r>
      <w:r>
        <w:rPr>
          <w:rFonts w:hint="eastAsia" w:ascii="Times New Roman" w:eastAsia="宋体"/>
          <w:szCs w:val="24"/>
        </w:rPr>
        <w:t>和</w:t>
      </w:r>
      <w:r>
        <w:rPr>
          <w:rFonts w:ascii="Times New Roman" w:eastAsia="宋体"/>
          <w:szCs w:val="24"/>
        </w:rPr>
        <w:t>GB 12348执行。</w:t>
      </w:r>
    </w:p>
    <w:p>
      <w:pPr>
        <w:pStyle w:val="28"/>
        <w:spacing w:before="156" w:after="156"/>
        <w:jc w:val="both"/>
        <w:rPr>
          <w:rFonts w:ascii="Times New Roman" w:eastAsia="宋体"/>
          <w:szCs w:val="24"/>
        </w:rPr>
      </w:pPr>
      <w:r>
        <w:rPr>
          <w:rFonts w:ascii="Times New Roman" w:eastAsia="宋体"/>
          <w:szCs w:val="24"/>
        </w:rPr>
        <w:t>7.2.2 烘干中心宜配置除尘设备及管网，在卸粮坑、初清筛、干燥机排粮口、输送机卸料口或(卸粮坑)提升机进料口等设置吸尘点，吸出的粉尘能集中收集和清理，不造成二次污染。烘干中心作业场所空气中粉尘浓度室内不超过10mg/m³；室外不超过15mg/m³。</w:t>
      </w:r>
    </w:p>
    <w:p>
      <w:pPr>
        <w:pStyle w:val="28"/>
        <w:spacing w:before="156" w:after="156"/>
        <w:jc w:val="both"/>
        <w:rPr>
          <w:rFonts w:ascii="Times New Roman" w:eastAsia="宋体"/>
          <w:szCs w:val="24"/>
        </w:rPr>
      </w:pPr>
      <w:r>
        <w:rPr>
          <w:rFonts w:ascii="Times New Roman" w:eastAsia="宋体"/>
          <w:szCs w:val="24"/>
        </w:rPr>
        <w:t>7.2.3 使用热风炉的颗粒物排放浓度、烟气黑度、二氧化硫、氮氧化物和汞及其化合物的排放浓度应符合GB 13271的要求。</w:t>
      </w:r>
    </w:p>
    <w:p>
      <w:pPr>
        <w:pStyle w:val="28"/>
        <w:spacing w:before="156" w:after="156"/>
        <w:jc w:val="both"/>
        <w:rPr>
          <w:rFonts w:ascii="Times New Roman" w:eastAsia="宋体"/>
          <w:szCs w:val="24"/>
        </w:rPr>
      </w:pPr>
      <w:r>
        <w:rPr>
          <w:rFonts w:ascii="Times New Roman" w:eastAsia="宋体"/>
          <w:szCs w:val="24"/>
        </w:rPr>
        <w:t>7.2.4 干燥机润滑部位不应有渗、漏油现象。</w:t>
      </w:r>
    </w:p>
    <w:p>
      <w:pPr>
        <w:pStyle w:val="28"/>
        <w:spacing w:before="156" w:after="156"/>
        <w:jc w:val="both"/>
        <w:rPr>
          <w:rFonts w:ascii="Times New Roman" w:eastAsia="宋体"/>
          <w:szCs w:val="24"/>
        </w:rPr>
      </w:pPr>
      <w:r>
        <w:rPr>
          <w:rFonts w:ascii="Times New Roman" w:eastAsia="宋体"/>
          <w:szCs w:val="24"/>
        </w:rPr>
        <w:t>7.2.5 储油罐、储气瓶组、减压装置、热风炉及专用蒸汽炉等，与粉尘间及干燥机间三者应独立隔开，粉尘间要密封严密，且粉尘间粉尘不应逆行返回到干燥机间。</w:t>
      </w:r>
    </w:p>
    <w:p>
      <w:pPr>
        <w:pStyle w:val="29"/>
        <w:numPr>
          <w:ilvl w:val="0"/>
          <w:numId w:val="3"/>
        </w:numPr>
        <w:spacing w:before="156" w:beforeLines="50" w:after="156" w:afterLines="50" w:line="480" w:lineRule="auto"/>
        <w:ind w:left="0"/>
        <w:rPr>
          <w:rFonts w:ascii="Times New Roman"/>
        </w:rPr>
      </w:pPr>
      <w:bookmarkStart w:id="129" w:name="_Toc116398193"/>
      <w:r>
        <w:rPr>
          <w:rFonts w:ascii="Times New Roman"/>
        </w:rPr>
        <w:t>安装与调试</w:t>
      </w:r>
      <w:bookmarkEnd w:id="127"/>
      <w:bookmarkEnd w:id="129"/>
    </w:p>
    <w:p>
      <w:pPr>
        <w:pStyle w:val="28"/>
        <w:numPr>
          <w:ilvl w:val="1"/>
          <w:numId w:val="3"/>
        </w:numPr>
        <w:spacing w:before="156" w:after="156" w:line="360" w:lineRule="exact"/>
        <w:rPr>
          <w:rFonts w:ascii="Times New Roman"/>
        </w:rPr>
      </w:pPr>
      <w:bookmarkStart w:id="130" w:name="_Toc110600920"/>
      <w:bookmarkStart w:id="131" w:name="_Toc110602965"/>
      <w:r>
        <w:rPr>
          <w:rFonts w:ascii="Times New Roman"/>
        </w:rPr>
        <w:t>安装</w:t>
      </w:r>
      <w:bookmarkEnd w:id="130"/>
      <w:bookmarkEnd w:id="131"/>
    </w:p>
    <w:p>
      <w:pPr>
        <w:pStyle w:val="28"/>
        <w:spacing w:before="156" w:after="156"/>
        <w:jc w:val="both"/>
        <w:rPr>
          <w:rFonts w:ascii="Times New Roman" w:eastAsia="宋体"/>
          <w:szCs w:val="24"/>
        </w:rPr>
      </w:pPr>
      <w:bookmarkStart w:id="132" w:name="_Toc110600921"/>
      <w:bookmarkStart w:id="133" w:name="_Toc110602966"/>
      <w:r>
        <w:rPr>
          <w:rFonts w:ascii="Times New Roman" w:eastAsia="宋体"/>
          <w:szCs w:val="24"/>
        </w:rPr>
        <w:t>8.1.1 按成套设备基础图的要求进行水泥地面或设备基础施工。安装前应检查水泥地基、设备基础是否达到基础图要求，设备平台地脚应与地面接触良好，保证平台稳固安全。</w:t>
      </w:r>
      <w:bookmarkEnd w:id="132"/>
      <w:bookmarkEnd w:id="133"/>
    </w:p>
    <w:p>
      <w:pPr>
        <w:pStyle w:val="28"/>
        <w:spacing w:before="156" w:after="156"/>
        <w:jc w:val="both"/>
        <w:rPr>
          <w:rFonts w:ascii="Times New Roman" w:eastAsia="宋体"/>
          <w:szCs w:val="24"/>
        </w:rPr>
      </w:pPr>
      <w:bookmarkStart w:id="134" w:name="_Toc110602967"/>
      <w:bookmarkStart w:id="135" w:name="_Toc110600922"/>
      <w:r>
        <w:rPr>
          <w:rFonts w:ascii="Times New Roman" w:eastAsia="宋体"/>
          <w:szCs w:val="24"/>
        </w:rPr>
        <w:t>8.1.2</w:t>
      </w:r>
      <w:bookmarkEnd w:id="134"/>
      <w:bookmarkEnd w:id="135"/>
      <w:r>
        <w:rPr>
          <w:rFonts w:ascii="Times New Roman" w:eastAsia="宋体"/>
          <w:szCs w:val="24"/>
        </w:rPr>
        <w:t xml:space="preserve"> 按照成套设备总图以及安装要求依次进行设备安装。</w:t>
      </w:r>
    </w:p>
    <w:p>
      <w:pPr>
        <w:pStyle w:val="28"/>
        <w:spacing w:before="156" w:after="156"/>
        <w:jc w:val="both"/>
        <w:rPr>
          <w:rFonts w:ascii="Times New Roman" w:eastAsia="宋体"/>
          <w:szCs w:val="24"/>
        </w:rPr>
      </w:pPr>
      <w:bookmarkStart w:id="136" w:name="_Toc110602968"/>
      <w:bookmarkStart w:id="137" w:name="_Toc110600923"/>
      <w:r>
        <w:rPr>
          <w:rFonts w:ascii="Times New Roman" w:eastAsia="宋体"/>
          <w:szCs w:val="24"/>
        </w:rPr>
        <w:t>8.1.3 提升机安装应确保垂直竖立，保证提升机运转时不出现皮带跑偏现象。</w:t>
      </w:r>
      <w:bookmarkEnd w:id="136"/>
      <w:bookmarkEnd w:id="137"/>
    </w:p>
    <w:p>
      <w:pPr>
        <w:pStyle w:val="28"/>
        <w:spacing w:before="156" w:after="156"/>
        <w:jc w:val="both"/>
        <w:rPr>
          <w:rFonts w:ascii="Times New Roman" w:eastAsia="宋体"/>
          <w:szCs w:val="24"/>
        </w:rPr>
      </w:pPr>
      <w:bookmarkStart w:id="138" w:name="_Toc110600924"/>
      <w:bookmarkStart w:id="139" w:name="_Toc110602969"/>
      <w:r>
        <w:rPr>
          <w:rFonts w:ascii="Times New Roman" w:eastAsia="宋体"/>
          <w:szCs w:val="24"/>
        </w:rPr>
        <w:t>8.1.4</w:t>
      </w:r>
      <w:bookmarkEnd w:id="138"/>
      <w:bookmarkEnd w:id="139"/>
      <w:bookmarkStart w:id="140" w:name="_Toc110600925"/>
      <w:bookmarkStart w:id="141" w:name="_Toc110602970"/>
      <w:r>
        <w:rPr>
          <w:rFonts w:ascii="Times New Roman" w:eastAsia="宋体"/>
          <w:szCs w:val="24"/>
        </w:rPr>
        <w:t xml:space="preserve"> 将控制柜安放在方便操作的位置，通过桥架与电缆线连接各设备，再进行空运转试车。</w:t>
      </w:r>
      <w:bookmarkEnd w:id="140"/>
      <w:bookmarkEnd w:id="141"/>
    </w:p>
    <w:p>
      <w:pPr>
        <w:pStyle w:val="28"/>
        <w:spacing w:before="156" w:after="156"/>
        <w:jc w:val="both"/>
        <w:rPr>
          <w:rFonts w:ascii="Times New Roman" w:eastAsia="宋体"/>
          <w:szCs w:val="24"/>
        </w:rPr>
      </w:pPr>
      <w:bookmarkStart w:id="142" w:name="_Toc110602971"/>
      <w:bookmarkStart w:id="143" w:name="_Toc110600926"/>
      <w:r>
        <w:rPr>
          <w:rFonts w:ascii="Times New Roman" w:eastAsia="宋体"/>
          <w:szCs w:val="24"/>
        </w:rPr>
        <w:t>8.1.5 危险部位应安装防护装置。</w:t>
      </w:r>
      <w:bookmarkEnd w:id="142"/>
      <w:bookmarkEnd w:id="143"/>
    </w:p>
    <w:p>
      <w:pPr>
        <w:pStyle w:val="28"/>
        <w:numPr>
          <w:ilvl w:val="1"/>
          <w:numId w:val="3"/>
        </w:numPr>
        <w:spacing w:before="156" w:after="156" w:line="360" w:lineRule="exact"/>
        <w:rPr>
          <w:rFonts w:ascii="Times New Roman"/>
        </w:rPr>
      </w:pPr>
      <w:bookmarkStart w:id="144" w:name="_Toc110602972"/>
      <w:bookmarkStart w:id="145" w:name="_Toc110600927"/>
      <w:r>
        <w:rPr>
          <w:rFonts w:ascii="Times New Roman"/>
        </w:rPr>
        <w:t>调试</w:t>
      </w:r>
      <w:bookmarkEnd w:id="144"/>
      <w:bookmarkEnd w:id="145"/>
    </w:p>
    <w:p>
      <w:pPr>
        <w:pStyle w:val="28"/>
        <w:spacing w:before="156" w:after="156"/>
        <w:jc w:val="both"/>
        <w:rPr>
          <w:rFonts w:ascii="Times New Roman" w:eastAsia="宋体"/>
          <w:szCs w:val="24"/>
        </w:rPr>
      </w:pPr>
      <w:bookmarkStart w:id="146" w:name="_Toc110602973"/>
      <w:bookmarkStart w:id="147" w:name="_Toc110600928"/>
      <w:r>
        <w:rPr>
          <w:rFonts w:ascii="Times New Roman" w:eastAsia="宋体"/>
          <w:szCs w:val="24"/>
        </w:rPr>
        <w:t>8.2.1 成套设备安装完毕后，应按照说明书的规定，对每台单机进行空载调试。</w:t>
      </w:r>
      <w:bookmarkEnd w:id="146"/>
      <w:bookmarkEnd w:id="147"/>
    </w:p>
    <w:p>
      <w:pPr>
        <w:pStyle w:val="28"/>
        <w:spacing w:before="156" w:after="156"/>
        <w:jc w:val="both"/>
        <w:rPr>
          <w:rFonts w:ascii="Times New Roman" w:eastAsia="宋体"/>
          <w:szCs w:val="24"/>
        </w:rPr>
      </w:pPr>
      <w:bookmarkStart w:id="148" w:name="_Toc110600929"/>
      <w:bookmarkStart w:id="149" w:name="_Toc110602974"/>
      <w:r>
        <w:rPr>
          <w:rFonts w:ascii="Times New Roman" w:eastAsia="宋体"/>
          <w:szCs w:val="24"/>
        </w:rPr>
        <w:t>8.2.2 单机空载调试完成后，再进行联机调试，重点对上下游设备的互锁关系进行调试。</w:t>
      </w:r>
      <w:bookmarkEnd w:id="148"/>
      <w:bookmarkEnd w:id="149"/>
    </w:p>
    <w:p>
      <w:pPr>
        <w:pStyle w:val="28"/>
        <w:spacing w:before="156" w:after="156"/>
        <w:jc w:val="both"/>
        <w:rPr>
          <w:rFonts w:ascii="Times New Roman" w:eastAsia="宋体"/>
          <w:szCs w:val="24"/>
        </w:rPr>
      </w:pPr>
      <w:bookmarkStart w:id="150" w:name="_Toc110602975"/>
      <w:bookmarkStart w:id="151" w:name="_Toc110600930"/>
      <w:r>
        <w:rPr>
          <w:rFonts w:ascii="Times New Roman" w:eastAsia="宋体"/>
          <w:szCs w:val="24"/>
        </w:rPr>
        <w:t>8.2.3 联机调试完成后，应进行负载调试，保障成套设备生产能力和烘干后稻谷品质符合表3的规定。</w:t>
      </w:r>
      <w:bookmarkEnd w:id="150"/>
      <w:bookmarkEnd w:id="151"/>
    </w:p>
    <w:p>
      <w:pPr>
        <w:pStyle w:val="28"/>
        <w:spacing w:before="156" w:after="156"/>
        <w:jc w:val="both"/>
        <w:rPr>
          <w:rFonts w:ascii="Times New Roman" w:eastAsia="宋体"/>
          <w:szCs w:val="24"/>
        </w:rPr>
      </w:pPr>
      <w:bookmarkStart w:id="152" w:name="_Toc110600931"/>
      <w:bookmarkStart w:id="153" w:name="_Toc110602976"/>
      <w:r>
        <w:rPr>
          <w:rFonts w:ascii="Times New Roman" w:eastAsia="宋体"/>
          <w:szCs w:val="24"/>
        </w:rPr>
        <w:t>8.2.4 在负载调试完成后，成套设备应进行不少于一周的试运行；试运行结束后可以进行验收环节。</w:t>
      </w:r>
      <w:bookmarkEnd w:id="152"/>
      <w:bookmarkEnd w:id="153"/>
    </w:p>
    <w:p>
      <w:pPr>
        <w:pStyle w:val="29"/>
        <w:numPr>
          <w:ilvl w:val="0"/>
          <w:numId w:val="3"/>
        </w:numPr>
        <w:spacing w:before="156" w:beforeLines="50" w:after="156" w:afterLines="50" w:line="480" w:lineRule="auto"/>
        <w:ind w:left="0"/>
        <w:rPr>
          <w:rFonts w:ascii="Times New Roman"/>
        </w:rPr>
      </w:pPr>
      <w:bookmarkStart w:id="154" w:name="_Toc110600932"/>
      <w:bookmarkStart w:id="155" w:name="_Toc116398194"/>
      <w:r>
        <w:rPr>
          <w:rFonts w:ascii="Times New Roman"/>
        </w:rPr>
        <w:t>验收</w:t>
      </w:r>
      <w:bookmarkEnd w:id="154"/>
      <w:bookmarkEnd w:id="155"/>
    </w:p>
    <w:p>
      <w:pPr>
        <w:pStyle w:val="28"/>
        <w:numPr>
          <w:ilvl w:val="1"/>
          <w:numId w:val="3"/>
        </w:numPr>
        <w:spacing w:before="156" w:after="156" w:line="360" w:lineRule="exact"/>
        <w:rPr>
          <w:rFonts w:ascii="Times New Roman"/>
        </w:rPr>
      </w:pPr>
      <w:bookmarkStart w:id="156" w:name="_Toc110603004"/>
      <w:bookmarkEnd w:id="156"/>
      <w:bookmarkStart w:id="157" w:name="_Toc110603006"/>
      <w:bookmarkEnd w:id="157"/>
      <w:bookmarkStart w:id="158" w:name="_Toc110600959"/>
      <w:bookmarkEnd w:id="158"/>
      <w:bookmarkStart w:id="159" w:name="_Toc110600961"/>
      <w:bookmarkEnd w:id="159"/>
      <w:bookmarkStart w:id="160" w:name="_Toc110602999"/>
      <w:bookmarkEnd w:id="160"/>
      <w:bookmarkStart w:id="161" w:name="_Toc110600955"/>
      <w:bookmarkEnd w:id="161"/>
      <w:bookmarkStart w:id="162" w:name="_Toc110600953"/>
      <w:bookmarkEnd w:id="162"/>
      <w:bookmarkStart w:id="163" w:name="_Toc110603000"/>
      <w:bookmarkEnd w:id="163"/>
      <w:bookmarkStart w:id="164" w:name="_Toc110603003"/>
      <w:bookmarkEnd w:id="164"/>
      <w:bookmarkStart w:id="165" w:name="_Toc110600952"/>
      <w:bookmarkEnd w:id="165"/>
      <w:bookmarkStart w:id="166" w:name="_Toc110600956"/>
      <w:bookmarkEnd w:id="166"/>
      <w:bookmarkStart w:id="167" w:name="_Toc110602998"/>
      <w:bookmarkEnd w:id="167"/>
      <w:bookmarkStart w:id="168" w:name="_Toc110603002"/>
      <w:bookmarkEnd w:id="168"/>
      <w:bookmarkStart w:id="169" w:name="_Toc110600958"/>
      <w:bookmarkEnd w:id="169"/>
      <w:bookmarkStart w:id="170" w:name="_Toc110600957"/>
      <w:bookmarkEnd w:id="170"/>
      <w:bookmarkStart w:id="171" w:name="_Toc110603001"/>
      <w:bookmarkEnd w:id="171"/>
      <w:bookmarkStart w:id="172" w:name="_Toc110602997"/>
      <w:bookmarkEnd w:id="172"/>
      <w:bookmarkStart w:id="173" w:name="_Toc110600951"/>
      <w:bookmarkEnd w:id="173"/>
      <w:bookmarkStart w:id="174" w:name="_Toc110600954"/>
      <w:bookmarkEnd w:id="174"/>
      <w:bookmarkStart w:id="175" w:name="_Toc110602996"/>
      <w:bookmarkEnd w:id="175"/>
      <w:bookmarkStart w:id="176" w:name="_Toc110600996"/>
      <w:bookmarkStart w:id="177" w:name="_Toc110603041"/>
      <w:r>
        <w:rPr>
          <w:rFonts w:ascii="Times New Roman"/>
        </w:rPr>
        <w:t>验收组织</w:t>
      </w:r>
    </w:p>
    <w:p>
      <w:pPr>
        <w:pStyle w:val="28"/>
        <w:spacing w:before="156" w:after="156"/>
        <w:jc w:val="both"/>
        <w:rPr>
          <w:rFonts w:ascii="Times New Roman" w:eastAsia="宋体"/>
          <w:szCs w:val="24"/>
        </w:rPr>
      </w:pPr>
      <w:r>
        <w:rPr>
          <w:rFonts w:ascii="Times New Roman" w:eastAsia="宋体"/>
          <w:szCs w:val="24"/>
        </w:rPr>
        <w:t>9.1.1 在成套设备安装调试完成后，设备制造企业自行组织相关人员进行初验。</w:t>
      </w:r>
    </w:p>
    <w:p>
      <w:pPr>
        <w:pStyle w:val="28"/>
        <w:spacing w:before="156" w:after="156"/>
        <w:jc w:val="both"/>
        <w:rPr>
          <w:rFonts w:ascii="Times New Roman" w:eastAsia="宋体"/>
          <w:szCs w:val="24"/>
        </w:rPr>
      </w:pPr>
      <w:r>
        <w:rPr>
          <w:rFonts w:ascii="Times New Roman" w:eastAsia="宋体"/>
          <w:szCs w:val="24"/>
        </w:rPr>
        <w:t>9.1.2 初验完成并具备竣工验收条件后，建设主体可向当地农机主管部门提出验收申请，由农机主管部门委托第三方从事农产品加工设备检测的专业验收机构开展验收。</w:t>
      </w:r>
    </w:p>
    <w:p>
      <w:pPr>
        <w:pStyle w:val="28"/>
        <w:spacing w:before="156" w:after="156"/>
        <w:jc w:val="both"/>
        <w:rPr>
          <w:rFonts w:ascii="Times New Roman" w:eastAsia="宋体"/>
          <w:szCs w:val="24"/>
        </w:rPr>
      </w:pPr>
      <w:r>
        <w:rPr>
          <w:rFonts w:ascii="Times New Roman" w:eastAsia="宋体"/>
          <w:szCs w:val="24"/>
        </w:rPr>
        <w:t>9.1.3 验收机构应组织建设主体、设备制造企业和相关方面的专家组成验收组赴现场实地验收，听取各有关单位的项目建设情况汇报，查阅设备档案、用户财务账目及其它相关资料，查验成套设备建设情况。验收机构应汇总整理验收材料、设备验收清单等，形成验收报告。验收报告由验收人员与建设主体双方签字确认。</w:t>
      </w:r>
    </w:p>
    <w:p>
      <w:pPr>
        <w:pStyle w:val="28"/>
        <w:numPr>
          <w:ilvl w:val="1"/>
          <w:numId w:val="3"/>
        </w:numPr>
        <w:spacing w:before="156" w:after="156" w:line="360" w:lineRule="exact"/>
        <w:rPr>
          <w:rFonts w:ascii="Times New Roman"/>
        </w:rPr>
      </w:pPr>
      <w:r>
        <w:rPr>
          <w:rFonts w:ascii="Times New Roman"/>
        </w:rPr>
        <w:t>验收方法</w:t>
      </w:r>
    </w:p>
    <w:p>
      <w:pPr>
        <w:pStyle w:val="28"/>
        <w:spacing w:before="156" w:after="156"/>
        <w:jc w:val="both"/>
        <w:rPr>
          <w:rFonts w:ascii="Times New Roman" w:eastAsia="宋体"/>
          <w:szCs w:val="24"/>
        </w:rPr>
      </w:pPr>
      <w:r>
        <w:rPr>
          <w:rFonts w:ascii="Times New Roman" w:eastAsia="宋体"/>
          <w:szCs w:val="24"/>
        </w:rPr>
        <w:t>9.2.1 查验成套设备的技术文件（主要包括设备平面布置图纸、使用说明书、合同和相关稻谷干燥品质指标检验报告等)中的技术要求是否符合本规范的有关要求；</w:t>
      </w:r>
    </w:p>
    <w:p>
      <w:pPr>
        <w:pStyle w:val="28"/>
        <w:spacing w:before="156" w:after="156"/>
        <w:jc w:val="both"/>
        <w:rPr>
          <w:rFonts w:ascii="Times New Roman" w:eastAsia="宋体"/>
          <w:szCs w:val="24"/>
        </w:rPr>
      </w:pPr>
      <w:r>
        <w:rPr>
          <w:rFonts w:ascii="Times New Roman" w:eastAsia="宋体"/>
          <w:szCs w:val="24"/>
        </w:rPr>
        <w:t>9.2.2 核对发票、设备生产企业、设备型号、出厂编号、设备数量与实际购置设备的数量及铭牌信息是否相符；</w:t>
      </w:r>
    </w:p>
    <w:p>
      <w:pPr>
        <w:pStyle w:val="28"/>
        <w:spacing w:before="156" w:after="156"/>
        <w:jc w:val="both"/>
        <w:rPr>
          <w:rFonts w:ascii="Times New Roman" w:eastAsia="宋体"/>
          <w:szCs w:val="24"/>
        </w:rPr>
      </w:pPr>
      <w:r>
        <w:rPr>
          <w:rFonts w:ascii="Times New Roman" w:eastAsia="宋体"/>
          <w:szCs w:val="24"/>
        </w:rPr>
        <w:t>9.2.3 空载或负载开启生产线，任选一台单机连续烘干一批稻谷，查验生产性能是否达到设备性能指标要求。</w:t>
      </w:r>
    </w:p>
    <w:p>
      <w:pPr>
        <w:pStyle w:val="28"/>
        <w:spacing w:before="156" w:after="156"/>
        <w:jc w:val="both"/>
        <w:rPr>
          <w:rFonts w:ascii="Times New Roman" w:eastAsia="宋体"/>
          <w:szCs w:val="24"/>
        </w:rPr>
      </w:pPr>
      <w:r>
        <w:rPr>
          <w:rFonts w:ascii="Times New Roman" w:eastAsia="宋体"/>
          <w:szCs w:val="24"/>
        </w:rPr>
        <w:t>9.2.4 验收地点：客户现场。</w:t>
      </w:r>
    </w:p>
    <w:p>
      <w:pPr>
        <w:pStyle w:val="28"/>
        <w:spacing w:before="156" w:after="156"/>
        <w:jc w:val="both"/>
        <w:rPr>
          <w:rFonts w:ascii="Times New Roman" w:eastAsia="宋体"/>
          <w:szCs w:val="24"/>
        </w:rPr>
      </w:pPr>
      <w:r>
        <w:rPr>
          <w:rFonts w:ascii="Times New Roman" w:eastAsia="宋体"/>
          <w:szCs w:val="24"/>
        </w:rPr>
        <w:t>9.2.5 验收表格详见附表1。</w:t>
      </w:r>
    </w:p>
    <w:p>
      <w:pPr>
        <w:pStyle w:val="28"/>
        <w:spacing w:before="156" w:after="156"/>
        <w:jc w:val="both"/>
        <w:rPr>
          <w:rFonts w:ascii="Times New Roman" w:eastAsia="宋体"/>
          <w:szCs w:val="24"/>
        </w:rPr>
        <w:sectPr>
          <w:pgSz w:w="11906" w:h="16838"/>
          <w:pgMar w:top="1440" w:right="1800" w:bottom="1440" w:left="1800" w:header="851" w:footer="992" w:gutter="0"/>
          <w:pgNumType w:start="1"/>
          <w:cols w:space="425" w:num="1"/>
          <w:docGrid w:type="lines" w:linePitch="312" w:charSpace="0"/>
        </w:sectPr>
      </w:pPr>
    </w:p>
    <w:bookmarkEnd w:id="176"/>
    <w:bookmarkEnd w:id="177"/>
    <w:p>
      <w:pPr>
        <w:pStyle w:val="27"/>
        <w:rPr>
          <w:rFonts w:ascii="Times New Roman" w:hAnsi="Times New Roman"/>
          <w:kern w:val="2"/>
          <w:szCs w:val="22"/>
        </w:rPr>
      </w:pPr>
      <w:bookmarkStart w:id="178" w:name="_Toc110601019"/>
      <w:bookmarkEnd w:id="178"/>
      <w:bookmarkStart w:id="179" w:name="_Toc110601025"/>
      <w:bookmarkEnd w:id="179"/>
      <w:bookmarkStart w:id="180" w:name="_Toc110603051"/>
      <w:bookmarkEnd w:id="180"/>
      <w:bookmarkStart w:id="181" w:name="_Toc110603064"/>
      <w:bookmarkEnd w:id="181"/>
      <w:bookmarkStart w:id="182" w:name="_Toc110601005"/>
      <w:bookmarkEnd w:id="182"/>
      <w:bookmarkStart w:id="183" w:name="_Toc110601003"/>
      <w:bookmarkEnd w:id="183"/>
      <w:bookmarkStart w:id="184" w:name="_Toc110603070"/>
      <w:bookmarkEnd w:id="184"/>
      <w:bookmarkStart w:id="185" w:name="_Toc110603048"/>
      <w:bookmarkEnd w:id="185"/>
      <w:bookmarkStart w:id="186" w:name="_Toc110601006"/>
      <w:bookmarkEnd w:id="186"/>
      <w:bookmarkStart w:id="187" w:name="_Toc110603049"/>
      <w:bookmarkEnd w:id="187"/>
      <w:bookmarkStart w:id="188" w:name="_Toc110601031"/>
      <w:bookmarkEnd w:id="188"/>
      <w:bookmarkStart w:id="189" w:name="_Toc110601037"/>
      <w:bookmarkEnd w:id="189"/>
      <w:bookmarkStart w:id="190" w:name="_Toc110603082"/>
      <w:bookmarkEnd w:id="190"/>
      <w:bookmarkStart w:id="191" w:name="_Toc110603050"/>
      <w:bookmarkEnd w:id="191"/>
      <w:bookmarkStart w:id="192" w:name="_Toc110603076"/>
      <w:bookmarkEnd w:id="192"/>
      <w:bookmarkStart w:id="193" w:name="_Toc110601004"/>
      <w:bookmarkEnd w:id="193"/>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ind w:firstLine="0" w:firstLineChars="0"/>
        <w:jc w:val="center"/>
        <w:rPr>
          <w:rFonts w:ascii="Times New Roman" w:hAnsi="Times New Roman"/>
          <w:b/>
          <w:kern w:val="2"/>
          <w:sz w:val="44"/>
          <w:szCs w:val="44"/>
        </w:rPr>
        <w:sectPr>
          <w:pgSz w:w="11906" w:h="16838"/>
          <w:pgMar w:top="1440" w:right="1800" w:bottom="1440" w:left="1800" w:header="851" w:footer="992" w:gutter="0"/>
          <w:pgNumType w:start="1"/>
          <w:cols w:space="425" w:num="1"/>
          <w:docGrid w:type="lines" w:linePitch="312" w:charSpace="0"/>
        </w:sectPr>
      </w:pPr>
      <w:r>
        <w:rPr>
          <w:rFonts w:ascii="Times New Roman" w:hAnsi="Times New Roman"/>
          <w:b/>
          <w:kern w:val="2"/>
          <w:sz w:val="44"/>
          <w:szCs w:val="44"/>
        </w:rPr>
        <w:t>附   表</w:t>
      </w:r>
    </w:p>
    <w:p>
      <w:pPr>
        <w:widowControl w:val="0"/>
        <w:autoSpaceDE w:val="0"/>
        <w:autoSpaceDN w:val="0"/>
        <w:snapToGrid/>
        <w:spacing w:line="240" w:lineRule="auto"/>
        <w:outlineLvl w:val="9"/>
        <w:rPr>
          <w:rFonts w:ascii="Times New Roman" w:eastAsia="宋体"/>
          <w:b/>
        </w:rPr>
      </w:pPr>
      <w:r>
        <w:rPr>
          <w:rFonts w:ascii="Times New Roman" w:eastAsia="宋体"/>
          <w:b/>
        </w:rPr>
        <w:t>附表1  项目验收表</w:t>
      </w:r>
    </w:p>
    <w:p>
      <w:pPr>
        <w:widowControl w:val="0"/>
        <w:autoSpaceDE w:val="0"/>
        <w:autoSpaceDN w:val="0"/>
        <w:snapToGrid/>
        <w:spacing w:line="240" w:lineRule="auto"/>
        <w:jc w:val="center"/>
        <w:outlineLvl w:val="9"/>
        <w:rPr>
          <w:rFonts w:ascii="Times New Roman"/>
        </w:rPr>
      </w:pPr>
      <w:bookmarkStart w:id="194" w:name="_Toc110601040"/>
      <w:r>
        <w:rPr>
          <w:rFonts w:ascii="Times New Roman"/>
        </w:rPr>
        <w:t>附表1. 稻谷烘干中心项目验收表</w:t>
      </w:r>
      <w:bookmarkEnd w:id="194"/>
    </w:p>
    <w:tbl>
      <w:tblPr>
        <w:tblStyle w:val="20"/>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614"/>
        <w:gridCol w:w="1053"/>
        <w:gridCol w:w="1053"/>
        <w:gridCol w:w="1054"/>
        <w:gridCol w:w="1053"/>
        <w:gridCol w:w="105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shd w:val="clear" w:color="auto" w:fill="auto"/>
            <w:vAlign w:val="center"/>
          </w:tcPr>
          <w:p>
            <w:pPr>
              <w:spacing w:line="240" w:lineRule="auto"/>
              <w:jc w:val="center"/>
              <w:rPr>
                <w:rFonts w:ascii="Times New Roman" w:eastAsia="宋体"/>
                <w:b/>
                <w:sz w:val="18"/>
                <w:szCs w:val="18"/>
              </w:rPr>
            </w:pPr>
            <w:bookmarkStart w:id="195" w:name="_Toc110601042"/>
            <w:bookmarkStart w:id="196" w:name="_Toc110603087"/>
            <w:r>
              <w:rPr>
                <w:rFonts w:ascii="Times New Roman" w:eastAsia="宋体"/>
                <w:b/>
                <w:sz w:val="18"/>
                <w:szCs w:val="18"/>
              </w:rPr>
              <w:t>类别</w:t>
            </w:r>
            <w:bookmarkEnd w:id="195"/>
            <w:bookmarkEnd w:id="196"/>
          </w:p>
        </w:tc>
        <w:tc>
          <w:tcPr>
            <w:tcW w:w="940" w:type="pct"/>
            <w:shd w:val="clear" w:color="auto" w:fill="auto"/>
            <w:vAlign w:val="center"/>
          </w:tcPr>
          <w:p>
            <w:pPr>
              <w:spacing w:line="240" w:lineRule="auto"/>
              <w:jc w:val="center"/>
              <w:rPr>
                <w:rFonts w:ascii="Times New Roman" w:eastAsia="宋体"/>
                <w:b/>
                <w:sz w:val="18"/>
                <w:szCs w:val="18"/>
              </w:rPr>
            </w:pPr>
            <w:bookmarkStart w:id="197" w:name="_Toc110601043"/>
            <w:bookmarkStart w:id="198" w:name="_Toc110603088"/>
            <w:r>
              <w:rPr>
                <w:rFonts w:ascii="Times New Roman" w:eastAsia="宋体"/>
                <w:b/>
                <w:sz w:val="18"/>
                <w:szCs w:val="18"/>
              </w:rPr>
              <w:t>目  录</w:t>
            </w:r>
            <w:bookmarkEnd w:id="197"/>
            <w:bookmarkEnd w:id="198"/>
          </w:p>
        </w:tc>
        <w:tc>
          <w:tcPr>
            <w:tcW w:w="3680" w:type="pct"/>
            <w:gridSpan w:val="6"/>
            <w:shd w:val="clear" w:color="auto" w:fill="auto"/>
            <w:vAlign w:val="center"/>
          </w:tcPr>
          <w:p>
            <w:pPr>
              <w:spacing w:line="240" w:lineRule="auto"/>
              <w:jc w:val="center"/>
              <w:rPr>
                <w:rFonts w:ascii="Times New Roman" w:eastAsia="宋体"/>
                <w:b/>
                <w:sz w:val="18"/>
                <w:szCs w:val="18"/>
              </w:rPr>
            </w:pPr>
            <w:bookmarkStart w:id="199" w:name="_Toc110601044"/>
            <w:bookmarkStart w:id="200" w:name="_Toc110603089"/>
            <w:r>
              <w:rPr>
                <w:rFonts w:ascii="Times New Roman" w:eastAsia="宋体"/>
                <w:b/>
                <w:sz w:val="18"/>
                <w:szCs w:val="18"/>
              </w:rPr>
              <w:t>内    容</w:t>
            </w:r>
            <w:bookmarkEnd w:id="199"/>
            <w:bookmarkEnd w:id="2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shd w:val="clear" w:color="auto" w:fill="auto"/>
            <w:vAlign w:val="center"/>
          </w:tcPr>
          <w:p>
            <w:pPr>
              <w:spacing w:line="240" w:lineRule="auto"/>
              <w:jc w:val="center"/>
              <w:rPr>
                <w:rFonts w:ascii="Times New Roman" w:eastAsia="宋体"/>
                <w:sz w:val="18"/>
                <w:szCs w:val="18"/>
              </w:rPr>
            </w:pPr>
            <w:bookmarkStart w:id="201" w:name="_Toc110601045"/>
            <w:bookmarkStart w:id="202" w:name="_Toc110603090"/>
            <w:r>
              <w:rPr>
                <w:rFonts w:ascii="Times New Roman" w:eastAsia="宋体"/>
                <w:sz w:val="18"/>
                <w:szCs w:val="18"/>
              </w:rPr>
              <w:t>资</w:t>
            </w:r>
            <w:bookmarkEnd w:id="201"/>
            <w:bookmarkEnd w:id="202"/>
          </w:p>
          <w:p>
            <w:pPr>
              <w:spacing w:line="240" w:lineRule="auto"/>
              <w:jc w:val="center"/>
              <w:rPr>
                <w:rFonts w:ascii="Times New Roman" w:eastAsia="宋体"/>
                <w:sz w:val="18"/>
                <w:szCs w:val="18"/>
              </w:rPr>
            </w:pPr>
            <w:bookmarkStart w:id="203" w:name="_Toc110601046"/>
            <w:bookmarkStart w:id="204" w:name="_Toc110603091"/>
            <w:r>
              <w:rPr>
                <w:rFonts w:ascii="Times New Roman" w:eastAsia="宋体"/>
                <w:sz w:val="18"/>
                <w:szCs w:val="18"/>
              </w:rPr>
              <w:t>料</w:t>
            </w:r>
            <w:bookmarkEnd w:id="203"/>
            <w:bookmarkEnd w:id="204"/>
          </w:p>
          <w:p>
            <w:pPr>
              <w:spacing w:line="240" w:lineRule="auto"/>
              <w:jc w:val="center"/>
              <w:rPr>
                <w:rFonts w:ascii="Times New Roman" w:eastAsia="宋体"/>
                <w:sz w:val="18"/>
                <w:szCs w:val="18"/>
              </w:rPr>
            </w:pPr>
            <w:bookmarkStart w:id="205" w:name="_Toc110601047"/>
            <w:bookmarkStart w:id="206" w:name="_Toc110603092"/>
            <w:r>
              <w:rPr>
                <w:rFonts w:ascii="Times New Roman" w:eastAsia="宋体"/>
                <w:sz w:val="18"/>
                <w:szCs w:val="18"/>
              </w:rPr>
              <w:t>验</w:t>
            </w:r>
            <w:bookmarkEnd w:id="205"/>
            <w:bookmarkEnd w:id="206"/>
          </w:p>
          <w:p>
            <w:pPr>
              <w:spacing w:line="240" w:lineRule="auto"/>
              <w:jc w:val="center"/>
              <w:rPr>
                <w:rFonts w:ascii="Times New Roman" w:eastAsia="宋体"/>
                <w:sz w:val="18"/>
                <w:szCs w:val="18"/>
              </w:rPr>
            </w:pPr>
            <w:bookmarkStart w:id="207" w:name="_Toc110601048"/>
            <w:bookmarkStart w:id="208" w:name="_Toc110603093"/>
            <w:r>
              <w:rPr>
                <w:rFonts w:ascii="Times New Roman" w:eastAsia="宋体"/>
                <w:sz w:val="18"/>
                <w:szCs w:val="18"/>
              </w:rPr>
              <w:t>收</w:t>
            </w:r>
            <w:bookmarkEnd w:id="207"/>
            <w:bookmarkEnd w:id="208"/>
          </w:p>
        </w:tc>
        <w:tc>
          <w:tcPr>
            <w:tcW w:w="940" w:type="pct"/>
            <w:vMerge w:val="restart"/>
            <w:shd w:val="clear" w:color="auto" w:fill="auto"/>
            <w:vAlign w:val="center"/>
          </w:tcPr>
          <w:p>
            <w:pPr>
              <w:spacing w:line="240" w:lineRule="auto"/>
              <w:jc w:val="center"/>
              <w:rPr>
                <w:rFonts w:ascii="Times New Roman" w:eastAsia="宋体"/>
                <w:sz w:val="18"/>
                <w:szCs w:val="18"/>
              </w:rPr>
            </w:pPr>
            <w:bookmarkStart w:id="209" w:name="_Toc110601049"/>
            <w:bookmarkStart w:id="210" w:name="_Toc110603094"/>
            <w:r>
              <w:rPr>
                <w:rFonts w:ascii="Times New Roman" w:eastAsia="宋体"/>
                <w:sz w:val="18"/>
                <w:szCs w:val="18"/>
              </w:rPr>
              <w:t>购机者身份证</w:t>
            </w:r>
            <w:bookmarkEnd w:id="209"/>
            <w:bookmarkEnd w:id="210"/>
          </w:p>
        </w:tc>
        <w:tc>
          <w:tcPr>
            <w:tcW w:w="1840" w:type="pct"/>
            <w:gridSpan w:val="3"/>
            <w:shd w:val="clear" w:color="auto" w:fill="auto"/>
            <w:vAlign w:val="center"/>
          </w:tcPr>
          <w:p>
            <w:pPr>
              <w:spacing w:line="240" w:lineRule="auto"/>
              <w:jc w:val="center"/>
              <w:rPr>
                <w:rFonts w:ascii="Times New Roman" w:eastAsia="宋体"/>
                <w:sz w:val="18"/>
                <w:szCs w:val="18"/>
              </w:rPr>
            </w:pPr>
            <w:bookmarkStart w:id="211" w:name="_Toc110601050"/>
            <w:bookmarkStart w:id="212" w:name="_Toc110603095"/>
            <w:r>
              <w:rPr>
                <w:rFonts w:ascii="Times New Roman" w:eastAsia="宋体"/>
                <w:sz w:val="18"/>
                <w:szCs w:val="18"/>
              </w:rPr>
              <w:t>有</w:t>
            </w:r>
            <w:bookmarkEnd w:id="211"/>
            <w:bookmarkEnd w:id="212"/>
          </w:p>
        </w:tc>
        <w:tc>
          <w:tcPr>
            <w:tcW w:w="1840" w:type="pct"/>
            <w:gridSpan w:val="3"/>
            <w:shd w:val="clear" w:color="auto" w:fill="auto"/>
            <w:vAlign w:val="center"/>
          </w:tcPr>
          <w:p>
            <w:pPr>
              <w:spacing w:line="240" w:lineRule="auto"/>
              <w:jc w:val="center"/>
              <w:rPr>
                <w:rFonts w:ascii="Times New Roman" w:eastAsia="宋体"/>
                <w:sz w:val="18"/>
                <w:szCs w:val="18"/>
              </w:rPr>
            </w:pPr>
            <w:bookmarkStart w:id="213" w:name="_Toc110601051"/>
            <w:bookmarkStart w:id="214" w:name="_Toc110603096"/>
            <w:r>
              <w:rPr>
                <w:rFonts w:ascii="Times New Roman" w:eastAsia="宋体"/>
                <w:sz w:val="18"/>
                <w:szCs w:val="18"/>
              </w:rPr>
              <w:t>无</w:t>
            </w:r>
            <w:bookmarkEnd w:id="213"/>
            <w:bookmarkEnd w:id="2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15" w:name="_Toc110601052"/>
            <w:bookmarkStart w:id="216" w:name="_Toc110603097"/>
            <w:r>
              <w:rPr>
                <w:rFonts w:ascii="Times New Roman" w:eastAsia="宋体"/>
                <w:sz w:val="18"/>
                <w:szCs w:val="18"/>
              </w:rPr>
              <w:t>购销合同</w:t>
            </w:r>
            <w:bookmarkEnd w:id="215"/>
            <w:bookmarkEnd w:id="216"/>
          </w:p>
        </w:tc>
        <w:tc>
          <w:tcPr>
            <w:tcW w:w="1840" w:type="pct"/>
            <w:gridSpan w:val="3"/>
            <w:shd w:val="clear" w:color="auto" w:fill="auto"/>
            <w:vAlign w:val="center"/>
          </w:tcPr>
          <w:p>
            <w:pPr>
              <w:spacing w:line="240" w:lineRule="auto"/>
              <w:jc w:val="center"/>
              <w:rPr>
                <w:rFonts w:ascii="Times New Roman" w:eastAsia="宋体"/>
                <w:sz w:val="18"/>
                <w:szCs w:val="18"/>
              </w:rPr>
            </w:pPr>
            <w:bookmarkStart w:id="217" w:name="_Toc110601053"/>
            <w:bookmarkStart w:id="218" w:name="_Toc110603098"/>
            <w:r>
              <w:rPr>
                <w:rFonts w:ascii="Times New Roman" w:eastAsia="宋体"/>
                <w:sz w:val="18"/>
                <w:szCs w:val="18"/>
              </w:rPr>
              <w:t>有</w:t>
            </w:r>
            <w:bookmarkEnd w:id="217"/>
            <w:bookmarkEnd w:id="218"/>
          </w:p>
        </w:tc>
        <w:tc>
          <w:tcPr>
            <w:tcW w:w="1840" w:type="pct"/>
            <w:gridSpan w:val="3"/>
            <w:shd w:val="clear" w:color="auto" w:fill="auto"/>
            <w:vAlign w:val="center"/>
          </w:tcPr>
          <w:p>
            <w:pPr>
              <w:spacing w:line="240" w:lineRule="auto"/>
              <w:jc w:val="center"/>
              <w:rPr>
                <w:rFonts w:ascii="Times New Roman" w:eastAsia="宋体"/>
                <w:sz w:val="18"/>
                <w:szCs w:val="18"/>
              </w:rPr>
            </w:pPr>
            <w:bookmarkStart w:id="219" w:name="_Toc110601054"/>
            <w:bookmarkStart w:id="220" w:name="_Toc110603099"/>
            <w:r>
              <w:rPr>
                <w:rFonts w:ascii="Times New Roman" w:eastAsia="宋体"/>
                <w:sz w:val="18"/>
                <w:szCs w:val="18"/>
              </w:rPr>
              <w:t>无</w:t>
            </w:r>
            <w:bookmarkEnd w:id="219"/>
            <w:bookmarkEnd w:id="2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21" w:name="_Toc110601055"/>
            <w:bookmarkStart w:id="222" w:name="_Toc110603100"/>
            <w:r>
              <w:rPr>
                <w:rFonts w:ascii="Times New Roman" w:eastAsia="宋体"/>
                <w:sz w:val="18"/>
                <w:szCs w:val="18"/>
              </w:rPr>
              <w:t>工商营业执照</w:t>
            </w:r>
            <w:bookmarkEnd w:id="221"/>
            <w:bookmarkEnd w:id="222"/>
          </w:p>
        </w:tc>
        <w:tc>
          <w:tcPr>
            <w:tcW w:w="1840" w:type="pct"/>
            <w:gridSpan w:val="3"/>
            <w:shd w:val="clear" w:color="auto" w:fill="auto"/>
            <w:vAlign w:val="center"/>
          </w:tcPr>
          <w:p>
            <w:pPr>
              <w:spacing w:line="240" w:lineRule="auto"/>
              <w:jc w:val="center"/>
              <w:rPr>
                <w:rFonts w:ascii="Times New Roman" w:eastAsia="宋体"/>
                <w:sz w:val="18"/>
                <w:szCs w:val="18"/>
              </w:rPr>
            </w:pPr>
            <w:bookmarkStart w:id="223" w:name="_Toc110601056"/>
            <w:bookmarkStart w:id="224" w:name="_Toc110603101"/>
            <w:r>
              <w:rPr>
                <w:rFonts w:ascii="Times New Roman" w:eastAsia="宋体"/>
                <w:sz w:val="18"/>
                <w:szCs w:val="18"/>
              </w:rPr>
              <w:t>有</w:t>
            </w:r>
            <w:bookmarkEnd w:id="223"/>
            <w:bookmarkEnd w:id="224"/>
          </w:p>
        </w:tc>
        <w:tc>
          <w:tcPr>
            <w:tcW w:w="1840" w:type="pct"/>
            <w:gridSpan w:val="3"/>
            <w:shd w:val="clear" w:color="auto" w:fill="auto"/>
            <w:vAlign w:val="center"/>
          </w:tcPr>
          <w:p>
            <w:pPr>
              <w:spacing w:line="240" w:lineRule="auto"/>
              <w:jc w:val="center"/>
              <w:rPr>
                <w:rFonts w:ascii="Times New Roman" w:eastAsia="宋体"/>
                <w:sz w:val="18"/>
                <w:szCs w:val="18"/>
              </w:rPr>
            </w:pPr>
            <w:bookmarkStart w:id="225" w:name="_Toc110601057"/>
            <w:bookmarkStart w:id="226" w:name="_Toc110603102"/>
            <w:r>
              <w:rPr>
                <w:rFonts w:ascii="Times New Roman" w:eastAsia="宋体"/>
                <w:sz w:val="18"/>
                <w:szCs w:val="18"/>
              </w:rPr>
              <w:t>无</w:t>
            </w:r>
            <w:bookmarkEnd w:id="225"/>
            <w:bookmarkEnd w:id="2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27" w:name="_Toc110601058"/>
            <w:bookmarkStart w:id="228" w:name="_Toc110603103"/>
            <w:r>
              <w:rPr>
                <w:rFonts w:ascii="Times New Roman" w:eastAsia="宋体"/>
                <w:sz w:val="18"/>
                <w:szCs w:val="18"/>
              </w:rPr>
              <w:t>购机者发票</w:t>
            </w:r>
            <w:bookmarkEnd w:id="227"/>
            <w:bookmarkEnd w:id="228"/>
          </w:p>
        </w:tc>
        <w:tc>
          <w:tcPr>
            <w:tcW w:w="1840" w:type="pct"/>
            <w:gridSpan w:val="3"/>
            <w:shd w:val="clear" w:color="auto" w:fill="auto"/>
            <w:vAlign w:val="center"/>
          </w:tcPr>
          <w:p>
            <w:pPr>
              <w:spacing w:line="240" w:lineRule="auto"/>
              <w:jc w:val="center"/>
              <w:rPr>
                <w:rFonts w:ascii="Times New Roman" w:eastAsia="宋体"/>
                <w:sz w:val="18"/>
                <w:szCs w:val="18"/>
              </w:rPr>
            </w:pPr>
            <w:bookmarkStart w:id="229" w:name="_Toc110601059"/>
            <w:bookmarkStart w:id="230" w:name="_Toc110603104"/>
            <w:r>
              <w:rPr>
                <w:rFonts w:ascii="Times New Roman" w:eastAsia="宋体"/>
                <w:sz w:val="18"/>
                <w:szCs w:val="18"/>
              </w:rPr>
              <w:t>有</w:t>
            </w:r>
            <w:bookmarkEnd w:id="229"/>
            <w:bookmarkEnd w:id="230"/>
          </w:p>
        </w:tc>
        <w:tc>
          <w:tcPr>
            <w:tcW w:w="1840" w:type="pct"/>
            <w:gridSpan w:val="3"/>
            <w:shd w:val="clear" w:color="auto" w:fill="auto"/>
            <w:vAlign w:val="center"/>
          </w:tcPr>
          <w:p>
            <w:pPr>
              <w:spacing w:line="240" w:lineRule="auto"/>
              <w:jc w:val="center"/>
              <w:rPr>
                <w:rFonts w:ascii="Times New Roman" w:eastAsia="宋体"/>
                <w:sz w:val="18"/>
                <w:szCs w:val="18"/>
              </w:rPr>
            </w:pPr>
            <w:bookmarkStart w:id="231" w:name="_Toc110601060"/>
            <w:bookmarkStart w:id="232" w:name="_Toc110603105"/>
            <w:r>
              <w:rPr>
                <w:rFonts w:ascii="Times New Roman" w:eastAsia="宋体"/>
                <w:sz w:val="18"/>
                <w:szCs w:val="18"/>
              </w:rPr>
              <w:t>无</w:t>
            </w:r>
            <w:bookmarkEnd w:id="231"/>
            <w:bookmarkEnd w:id="2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33" w:name="_Toc110601061"/>
            <w:bookmarkStart w:id="234" w:name="_Toc110603106"/>
            <w:r>
              <w:rPr>
                <w:rFonts w:ascii="Times New Roman" w:eastAsia="宋体"/>
                <w:sz w:val="18"/>
                <w:szCs w:val="18"/>
              </w:rPr>
              <w:t>成套设备说明书</w:t>
            </w:r>
            <w:bookmarkEnd w:id="233"/>
            <w:bookmarkEnd w:id="234"/>
          </w:p>
        </w:tc>
        <w:tc>
          <w:tcPr>
            <w:tcW w:w="1840" w:type="pct"/>
            <w:gridSpan w:val="3"/>
            <w:shd w:val="clear" w:color="auto" w:fill="auto"/>
            <w:vAlign w:val="center"/>
          </w:tcPr>
          <w:p>
            <w:pPr>
              <w:spacing w:line="240" w:lineRule="auto"/>
              <w:jc w:val="center"/>
              <w:rPr>
                <w:rFonts w:ascii="Times New Roman" w:eastAsia="宋体"/>
                <w:sz w:val="18"/>
                <w:szCs w:val="18"/>
              </w:rPr>
            </w:pPr>
            <w:bookmarkStart w:id="235" w:name="_Toc110601062"/>
            <w:bookmarkStart w:id="236" w:name="_Toc110603107"/>
            <w:r>
              <w:rPr>
                <w:rFonts w:ascii="Times New Roman" w:eastAsia="宋体"/>
                <w:sz w:val="18"/>
                <w:szCs w:val="18"/>
              </w:rPr>
              <w:t>有</w:t>
            </w:r>
            <w:bookmarkEnd w:id="235"/>
            <w:bookmarkEnd w:id="236"/>
          </w:p>
        </w:tc>
        <w:tc>
          <w:tcPr>
            <w:tcW w:w="1840" w:type="pct"/>
            <w:gridSpan w:val="3"/>
            <w:shd w:val="clear" w:color="auto" w:fill="auto"/>
            <w:vAlign w:val="center"/>
          </w:tcPr>
          <w:p>
            <w:pPr>
              <w:spacing w:line="240" w:lineRule="auto"/>
              <w:jc w:val="center"/>
              <w:rPr>
                <w:rFonts w:ascii="Times New Roman" w:eastAsia="宋体"/>
                <w:sz w:val="18"/>
                <w:szCs w:val="18"/>
              </w:rPr>
            </w:pPr>
            <w:bookmarkStart w:id="237" w:name="_Toc110601063"/>
            <w:bookmarkStart w:id="238" w:name="_Toc110603108"/>
            <w:r>
              <w:rPr>
                <w:rFonts w:ascii="Times New Roman" w:eastAsia="宋体"/>
                <w:sz w:val="18"/>
                <w:szCs w:val="18"/>
              </w:rPr>
              <w:t>无</w:t>
            </w:r>
            <w:bookmarkEnd w:id="237"/>
            <w:bookmarkEnd w:id="2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39" w:name="_Toc110601064"/>
            <w:bookmarkStart w:id="240" w:name="_Toc110603109"/>
            <w:r>
              <w:rPr>
                <w:rFonts w:ascii="Times New Roman" w:eastAsia="宋体"/>
                <w:sz w:val="18"/>
                <w:szCs w:val="18"/>
              </w:rPr>
              <w:t>售后服务承诺书</w:t>
            </w:r>
            <w:bookmarkEnd w:id="239"/>
            <w:bookmarkEnd w:id="240"/>
          </w:p>
        </w:tc>
        <w:tc>
          <w:tcPr>
            <w:tcW w:w="1840" w:type="pct"/>
            <w:gridSpan w:val="3"/>
            <w:shd w:val="clear" w:color="auto" w:fill="auto"/>
            <w:vAlign w:val="center"/>
          </w:tcPr>
          <w:p>
            <w:pPr>
              <w:spacing w:line="240" w:lineRule="auto"/>
              <w:jc w:val="center"/>
              <w:rPr>
                <w:rFonts w:ascii="Times New Roman" w:eastAsia="宋体"/>
                <w:sz w:val="18"/>
                <w:szCs w:val="18"/>
              </w:rPr>
            </w:pPr>
            <w:bookmarkStart w:id="241" w:name="_Toc110601065"/>
            <w:bookmarkStart w:id="242" w:name="_Toc110603110"/>
            <w:r>
              <w:rPr>
                <w:rFonts w:ascii="Times New Roman" w:eastAsia="宋体"/>
                <w:sz w:val="18"/>
                <w:szCs w:val="18"/>
              </w:rPr>
              <w:t>有</w:t>
            </w:r>
            <w:bookmarkEnd w:id="241"/>
            <w:bookmarkEnd w:id="242"/>
          </w:p>
        </w:tc>
        <w:tc>
          <w:tcPr>
            <w:tcW w:w="1840" w:type="pct"/>
            <w:gridSpan w:val="3"/>
            <w:shd w:val="clear" w:color="auto" w:fill="auto"/>
            <w:vAlign w:val="center"/>
          </w:tcPr>
          <w:p>
            <w:pPr>
              <w:spacing w:line="240" w:lineRule="auto"/>
              <w:jc w:val="center"/>
              <w:rPr>
                <w:rFonts w:ascii="Times New Roman" w:eastAsia="宋体"/>
                <w:sz w:val="18"/>
                <w:szCs w:val="18"/>
              </w:rPr>
            </w:pPr>
            <w:bookmarkStart w:id="243" w:name="_Toc110601066"/>
            <w:bookmarkStart w:id="244" w:name="_Toc110603111"/>
            <w:r>
              <w:rPr>
                <w:rFonts w:ascii="Times New Roman" w:eastAsia="宋体"/>
                <w:sz w:val="18"/>
                <w:szCs w:val="18"/>
              </w:rPr>
              <w:t>无</w:t>
            </w:r>
            <w:bookmarkEnd w:id="243"/>
            <w:bookmarkEnd w:id="2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shd w:val="clear" w:color="auto" w:fill="auto"/>
            <w:vAlign w:val="center"/>
          </w:tcPr>
          <w:p>
            <w:pPr>
              <w:spacing w:line="240" w:lineRule="auto"/>
              <w:jc w:val="center"/>
              <w:rPr>
                <w:rFonts w:ascii="Times New Roman" w:eastAsia="宋体"/>
                <w:sz w:val="18"/>
                <w:szCs w:val="18"/>
              </w:rPr>
            </w:pPr>
            <w:bookmarkStart w:id="245" w:name="_Toc110601067"/>
            <w:bookmarkStart w:id="246" w:name="_Toc110603112"/>
            <w:r>
              <w:rPr>
                <w:rFonts w:ascii="Times New Roman" w:eastAsia="宋体"/>
                <w:sz w:val="18"/>
                <w:szCs w:val="18"/>
              </w:rPr>
              <w:t>工</w:t>
            </w:r>
            <w:bookmarkEnd w:id="245"/>
            <w:bookmarkEnd w:id="246"/>
          </w:p>
          <w:p>
            <w:pPr>
              <w:spacing w:line="240" w:lineRule="auto"/>
              <w:jc w:val="center"/>
              <w:rPr>
                <w:rFonts w:ascii="Times New Roman" w:eastAsia="宋体"/>
                <w:sz w:val="18"/>
                <w:szCs w:val="18"/>
              </w:rPr>
            </w:pPr>
            <w:bookmarkStart w:id="247" w:name="_Toc110601068"/>
            <w:bookmarkStart w:id="248" w:name="_Toc110603113"/>
            <w:r>
              <w:rPr>
                <w:rFonts w:ascii="Times New Roman" w:eastAsia="宋体"/>
                <w:sz w:val="18"/>
                <w:szCs w:val="18"/>
              </w:rPr>
              <w:t>程</w:t>
            </w:r>
            <w:bookmarkEnd w:id="247"/>
            <w:bookmarkEnd w:id="248"/>
          </w:p>
          <w:p>
            <w:pPr>
              <w:spacing w:line="240" w:lineRule="auto"/>
              <w:jc w:val="center"/>
              <w:rPr>
                <w:rFonts w:ascii="Times New Roman" w:eastAsia="宋体"/>
                <w:sz w:val="18"/>
                <w:szCs w:val="18"/>
              </w:rPr>
            </w:pPr>
            <w:bookmarkStart w:id="249" w:name="_Toc110601069"/>
            <w:bookmarkStart w:id="250" w:name="_Toc110603114"/>
            <w:r>
              <w:rPr>
                <w:rFonts w:ascii="Times New Roman" w:eastAsia="宋体"/>
                <w:sz w:val="18"/>
                <w:szCs w:val="18"/>
              </w:rPr>
              <w:t>验</w:t>
            </w:r>
            <w:bookmarkEnd w:id="249"/>
            <w:bookmarkEnd w:id="250"/>
          </w:p>
          <w:p>
            <w:pPr>
              <w:spacing w:line="240" w:lineRule="auto"/>
              <w:jc w:val="center"/>
              <w:rPr>
                <w:rFonts w:ascii="Times New Roman" w:eastAsia="宋体"/>
                <w:sz w:val="18"/>
                <w:szCs w:val="18"/>
              </w:rPr>
            </w:pPr>
            <w:bookmarkStart w:id="251" w:name="_Toc110601070"/>
            <w:bookmarkStart w:id="252" w:name="_Toc110603115"/>
            <w:r>
              <w:rPr>
                <w:rFonts w:ascii="Times New Roman" w:eastAsia="宋体"/>
                <w:sz w:val="18"/>
                <w:szCs w:val="18"/>
              </w:rPr>
              <w:t>收</w:t>
            </w:r>
            <w:bookmarkEnd w:id="251"/>
            <w:bookmarkEnd w:id="252"/>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烘干机（塔）房</w:t>
            </w:r>
          </w:p>
          <w:p>
            <w:pPr>
              <w:spacing w:line="240" w:lineRule="auto"/>
              <w:jc w:val="center"/>
              <w:rPr>
                <w:rFonts w:ascii="Times New Roman" w:eastAsia="宋体"/>
                <w:sz w:val="18"/>
                <w:szCs w:val="18"/>
              </w:rPr>
            </w:pPr>
            <w:bookmarkStart w:id="253" w:name="_Toc110601072"/>
            <w:bookmarkStart w:id="254" w:name="_Toc110603117"/>
            <w:r>
              <w:rPr>
                <w:rFonts w:ascii="Times New Roman" w:eastAsia="宋体"/>
                <w:sz w:val="18"/>
                <w:szCs w:val="18"/>
              </w:rPr>
              <w:t>（长×宽×高）</w:t>
            </w:r>
            <w:bookmarkEnd w:id="253"/>
            <w:bookmarkEnd w:id="254"/>
          </w:p>
        </w:tc>
        <w:tc>
          <w:tcPr>
            <w:tcW w:w="1840" w:type="pct"/>
            <w:gridSpan w:val="3"/>
            <w:shd w:val="clear" w:color="auto" w:fill="auto"/>
            <w:vAlign w:val="center"/>
          </w:tcPr>
          <w:p>
            <w:pPr>
              <w:spacing w:line="240" w:lineRule="auto"/>
              <w:jc w:val="center"/>
              <w:rPr>
                <w:rFonts w:ascii="Times New Roman" w:eastAsia="宋体"/>
                <w:sz w:val="18"/>
                <w:szCs w:val="18"/>
              </w:rPr>
            </w:pPr>
            <w:bookmarkStart w:id="255" w:name="_Toc110603118"/>
            <w:bookmarkStart w:id="256" w:name="_Toc110601073"/>
            <w:r>
              <w:rPr>
                <w:rFonts w:ascii="Times New Roman" w:eastAsia="宋体"/>
                <w:sz w:val="18"/>
                <w:szCs w:val="18"/>
              </w:rPr>
              <w:t>符合</w:t>
            </w:r>
            <w:bookmarkEnd w:id="255"/>
            <w:bookmarkEnd w:id="256"/>
          </w:p>
        </w:tc>
        <w:tc>
          <w:tcPr>
            <w:tcW w:w="1840" w:type="pct"/>
            <w:gridSpan w:val="3"/>
            <w:shd w:val="clear" w:color="auto" w:fill="auto"/>
            <w:vAlign w:val="center"/>
          </w:tcPr>
          <w:p>
            <w:pPr>
              <w:spacing w:line="240" w:lineRule="auto"/>
              <w:jc w:val="center"/>
              <w:rPr>
                <w:rFonts w:ascii="Times New Roman" w:eastAsia="宋体"/>
                <w:sz w:val="18"/>
                <w:szCs w:val="18"/>
              </w:rPr>
            </w:pPr>
            <w:bookmarkStart w:id="257" w:name="_Toc110601074"/>
            <w:bookmarkStart w:id="258" w:name="_Toc110603119"/>
            <w:r>
              <w:rPr>
                <w:rFonts w:ascii="Times New Roman" w:eastAsia="宋体"/>
                <w:sz w:val="18"/>
                <w:szCs w:val="18"/>
              </w:rPr>
              <w:t>不符合</w:t>
            </w:r>
            <w:bookmarkEnd w:id="257"/>
            <w:bookmarkEnd w:id="2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除尘间</w:t>
            </w:r>
          </w:p>
          <w:p>
            <w:pPr>
              <w:spacing w:line="240" w:lineRule="auto"/>
              <w:jc w:val="center"/>
              <w:rPr>
                <w:rFonts w:ascii="Times New Roman" w:eastAsia="宋体"/>
                <w:sz w:val="18"/>
                <w:szCs w:val="18"/>
              </w:rPr>
            </w:pPr>
            <w:bookmarkStart w:id="259" w:name="_Toc110601076"/>
            <w:bookmarkStart w:id="260" w:name="_Toc110603121"/>
            <w:r>
              <w:rPr>
                <w:rFonts w:ascii="Times New Roman" w:eastAsia="宋体"/>
                <w:sz w:val="18"/>
                <w:szCs w:val="18"/>
              </w:rPr>
              <w:t>（长×宽×高）</w:t>
            </w:r>
            <w:bookmarkEnd w:id="259"/>
            <w:bookmarkEnd w:id="260"/>
          </w:p>
        </w:tc>
        <w:tc>
          <w:tcPr>
            <w:tcW w:w="1840" w:type="pct"/>
            <w:gridSpan w:val="3"/>
            <w:shd w:val="clear" w:color="auto" w:fill="auto"/>
            <w:vAlign w:val="center"/>
          </w:tcPr>
          <w:p>
            <w:pPr>
              <w:spacing w:line="240" w:lineRule="auto"/>
              <w:jc w:val="center"/>
              <w:rPr>
                <w:rFonts w:ascii="Times New Roman" w:eastAsia="宋体"/>
                <w:sz w:val="18"/>
                <w:szCs w:val="18"/>
              </w:rPr>
            </w:pPr>
            <w:bookmarkStart w:id="261" w:name="_Toc110601077"/>
            <w:bookmarkStart w:id="262" w:name="_Toc110603122"/>
            <w:r>
              <w:rPr>
                <w:rFonts w:ascii="Times New Roman" w:eastAsia="宋体"/>
                <w:sz w:val="18"/>
                <w:szCs w:val="18"/>
              </w:rPr>
              <w:t>符合</w:t>
            </w:r>
            <w:bookmarkEnd w:id="261"/>
            <w:bookmarkEnd w:id="262"/>
          </w:p>
        </w:tc>
        <w:tc>
          <w:tcPr>
            <w:tcW w:w="1840" w:type="pct"/>
            <w:gridSpan w:val="3"/>
            <w:shd w:val="clear" w:color="auto" w:fill="auto"/>
            <w:vAlign w:val="center"/>
          </w:tcPr>
          <w:p>
            <w:pPr>
              <w:spacing w:line="240" w:lineRule="auto"/>
              <w:jc w:val="center"/>
              <w:rPr>
                <w:rFonts w:ascii="Times New Roman" w:eastAsia="宋体"/>
                <w:sz w:val="18"/>
                <w:szCs w:val="18"/>
              </w:rPr>
            </w:pPr>
            <w:bookmarkStart w:id="263" w:name="_Toc110601078"/>
            <w:bookmarkStart w:id="264" w:name="_Toc110603123"/>
            <w:r>
              <w:rPr>
                <w:rFonts w:ascii="Times New Roman" w:eastAsia="宋体"/>
                <w:sz w:val="18"/>
                <w:szCs w:val="18"/>
              </w:rPr>
              <w:t>不符合</w:t>
            </w:r>
            <w:bookmarkEnd w:id="263"/>
            <w:bookmarkEnd w:id="2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shd w:val="clear" w:color="auto" w:fill="auto"/>
            <w:vAlign w:val="center"/>
          </w:tcPr>
          <w:p>
            <w:pPr>
              <w:spacing w:line="240" w:lineRule="auto"/>
              <w:jc w:val="center"/>
              <w:rPr>
                <w:rFonts w:ascii="Times New Roman" w:eastAsia="宋体"/>
                <w:sz w:val="18"/>
                <w:szCs w:val="18"/>
              </w:rPr>
            </w:pPr>
            <w:bookmarkStart w:id="265" w:name="_Toc110601079"/>
            <w:bookmarkStart w:id="266" w:name="_Toc110603124"/>
            <w:r>
              <w:rPr>
                <w:rFonts w:ascii="Times New Roman" w:eastAsia="宋体"/>
                <w:sz w:val="18"/>
                <w:szCs w:val="18"/>
              </w:rPr>
              <w:t>成</w:t>
            </w:r>
            <w:bookmarkEnd w:id="265"/>
            <w:bookmarkEnd w:id="266"/>
          </w:p>
          <w:p>
            <w:pPr>
              <w:spacing w:line="240" w:lineRule="auto"/>
              <w:jc w:val="center"/>
              <w:rPr>
                <w:rFonts w:ascii="Times New Roman" w:eastAsia="宋体"/>
                <w:sz w:val="18"/>
                <w:szCs w:val="18"/>
              </w:rPr>
            </w:pPr>
            <w:bookmarkStart w:id="267" w:name="_Toc110601080"/>
            <w:bookmarkStart w:id="268" w:name="_Toc110603125"/>
            <w:r>
              <w:rPr>
                <w:rFonts w:ascii="Times New Roman" w:eastAsia="宋体"/>
                <w:sz w:val="18"/>
                <w:szCs w:val="18"/>
              </w:rPr>
              <w:t>套</w:t>
            </w:r>
            <w:bookmarkEnd w:id="267"/>
            <w:bookmarkEnd w:id="268"/>
          </w:p>
          <w:p>
            <w:pPr>
              <w:spacing w:line="240" w:lineRule="auto"/>
              <w:jc w:val="center"/>
              <w:rPr>
                <w:rFonts w:ascii="Times New Roman" w:eastAsia="宋体"/>
                <w:sz w:val="18"/>
                <w:szCs w:val="18"/>
              </w:rPr>
            </w:pPr>
            <w:bookmarkStart w:id="269" w:name="_Toc110601081"/>
            <w:bookmarkStart w:id="270" w:name="_Toc110603126"/>
            <w:r>
              <w:rPr>
                <w:rFonts w:ascii="Times New Roman" w:eastAsia="宋体"/>
                <w:sz w:val="18"/>
                <w:szCs w:val="18"/>
              </w:rPr>
              <w:t>设</w:t>
            </w:r>
            <w:bookmarkEnd w:id="269"/>
            <w:bookmarkEnd w:id="270"/>
          </w:p>
          <w:p>
            <w:pPr>
              <w:spacing w:line="240" w:lineRule="auto"/>
              <w:jc w:val="center"/>
              <w:rPr>
                <w:rFonts w:ascii="Times New Roman" w:eastAsia="宋体"/>
                <w:sz w:val="18"/>
                <w:szCs w:val="18"/>
              </w:rPr>
            </w:pPr>
            <w:bookmarkStart w:id="271" w:name="_Toc110601082"/>
            <w:bookmarkStart w:id="272" w:name="_Toc110603127"/>
            <w:r>
              <w:rPr>
                <w:rFonts w:ascii="Times New Roman" w:eastAsia="宋体"/>
                <w:sz w:val="18"/>
                <w:szCs w:val="18"/>
              </w:rPr>
              <w:t>备</w:t>
            </w:r>
            <w:bookmarkEnd w:id="271"/>
            <w:bookmarkEnd w:id="272"/>
          </w:p>
          <w:p>
            <w:pPr>
              <w:spacing w:line="240" w:lineRule="auto"/>
              <w:jc w:val="center"/>
              <w:rPr>
                <w:rFonts w:ascii="Times New Roman" w:eastAsia="宋体"/>
                <w:sz w:val="18"/>
                <w:szCs w:val="18"/>
              </w:rPr>
            </w:pPr>
            <w:bookmarkStart w:id="273" w:name="_Toc110601083"/>
            <w:bookmarkStart w:id="274" w:name="_Toc110603128"/>
            <w:r>
              <w:rPr>
                <w:rFonts w:ascii="Times New Roman" w:eastAsia="宋体"/>
                <w:sz w:val="18"/>
                <w:szCs w:val="18"/>
              </w:rPr>
              <w:t>主     要     单     机              验     收</w:t>
            </w:r>
            <w:bookmarkEnd w:id="273"/>
            <w:bookmarkEnd w:id="274"/>
          </w:p>
        </w:tc>
        <w:tc>
          <w:tcPr>
            <w:tcW w:w="940" w:type="pct"/>
            <w:shd w:val="clear" w:color="auto" w:fill="auto"/>
            <w:vAlign w:val="center"/>
          </w:tcPr>
          <w:p>
            <w:pPr>
              <w:spacing w:line="240" w:lineRule="auto"/>
              <w:jc w:val="center"/>
              <w:rPr>
                <w:rFonts w:ascii="Times New Roman" w:eastAsia="宋体"/>
                <w:b/>
                <w:bCs/>
                <w:sz w:val="18"/>
                <w:szCs w:val="18"/>
              </w:rPr>
            </w:pPr>
            <w:r>
              <w:rPr>
                <w:rFonts w:ascii="Times New Roman" w:eastAsia="宋体"/>
                <w:b/>
                <w:bCs/>
                <w:sz w:val="18"/>
                <w:szCs w:val="18"/>
              </w:rPr>
              <w:t>设备名称</w:t>
            </w:r>
          </w:p>
        </w:tc>
        <w:tc>
          <w:tcPr>
            <w:tcW w:w="1226" w:type="pct"/>
            <w:gridSpan w:val="2"/>
            <w:shd w:val="clear" w:color="auto" w:fill="auto"/>
            <w:vAlign w:val="center"/>
          </w:tcPr>
          <w:p>
            <w:pPr>
              <w:spacing w:line="240" w:lineRule="auto"/>
              <w:jc w:val="center"/>
              <w:rPr>
                <w:rFonts w:ascii="Times New Roman" w:eastAsia="宋体"/>
                <w:b/>
                <w:bCs/>
                <w:sz w:val="18"/>
                <w:szCs w:val="18"/>
              </w:rPr>
            </w:pPr>
            <w:bookmarkStart w:id="275" w:name="_Toc110603130"/>
            <w:bookmarkStart w:id="276" w:name="_Toc110601085"/>
            <w:r>
              <w:rPr>
                <w:rFonts w:ascii="Times New Roman" w:eastAsia="宋体"/>
                <w:b/>
                <w:bCs/>
                <w:sz w:val="18"/>
                <w:szCs w:val="18"/>
              </w:rPr>
              <w:t>对照实物</w:t>
            </w:r>
            <w:bookmarkEnd w:id="275"/>
            <w:bookmarkEnd w:id="276"/>
          </w:p>
        </w:tc>
        <w:tc>
          <w:tcPr>
            <w:tcW w:w="1227" w:type="pct"/>
            <w:gridSpan w:val="2"/>
            <w:shd w:val="clear" w:color="auto" w:fill="auto"/>
            <w:vAlign w:val="center"/>
          </w:tcPr>
          <w:p>
            <w:pPr>
              <w:spacing w:line="240" w:lineRule="auto"/>
              <w:jc w:val="center"/>
              <w:rPr>
                <w:rFonts w:ascii="Times New Roman" w:eastAsia="宋体"/>
                <w:b/>
                <w:bCs/>
                <w:sz w:val="18"/>
                <w:szCs w:val="18"/>
              </w:rPr>
            </w:pPr>
            <w:bookmarkStart w:id="277" w:name="_Toc110603131"/>
            <w:bookmarkStart w:id="278" w:name="_Toc110601086"/>
            <w:r>
              <w:rPr>
                <w:rFonts w:ascii="Times New Roman" w:eastAsia="宋体"/>
                <w:b/>
                <w:bCs/>
                <w:sz w:val="18"/>
                <w:szCs w:val="18"/>
              </w:rPr>
              <w:t>数  量</w:t>
            </w:r>
            <w:bookmarkEnd w:id="277"/>
            <w:bookmarkEnd w:id="278"/>
          </w:p>
        </w:tc>
        <w:tc>
          <w:tcPr>
            <w:tcW w:w="1227" w:type="pct"/>
            <w:gridSpan w:val="2"/>
            <w:shd w:val="clear" w:color="auto" w:fill="auto"/>
            <w:vAlign w:val="center"/>
          </w:tcPr>
          <w:p>
            <w:pPr>
              <w:spacing w:line="240" w:lineRule="auto"/>
              <w:jc w:val="center"/>
              <w:rPr>
                <w:rFonts w:ascii="Times New Roman" w:eastAsia="宋体"/>
                <w:b/>
                <w:bCs/>
                <w:sz w:val="18"/>
                <w:szCs w:val="18"/>
              </w:rPr>
            </w:pPr>
            <w:r>
              <w:rPr>
                <w:rFonts w:ascii="Times New Roman" w:eastAsia="宋体"/>
                <w:b/>
                <w:bCs/>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固定式电子衡器</w:t>
            </w:r>
          </w:p>
        </w:tc>
        <w:tc>
          <w:tcPr>
            <w:tcW w:w="613"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613"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c>
          <w:tcPr>
            <w:tcW w:w="614"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613"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c>
          <w:tcPr>
            <w:tcW w:w="613"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614" w:type="pc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79" w:name="_Toc110603129"/>
            <w:bookmarkStart w:id="280" w:name="_Toc110601084"/>
            <w:r>
              <w:rPr>
                <w:rFonts w:ascii="Times New Roman" w:eastAsia="宋体"/>
                <w:sz w:val="18"/>
                <w:szCs w:val="18"/>
              </w:rPr>
              <w:t>清选机</w:t>
            </w:r>
            <w:bookmarkEnd w:id="279"/>
            <w:bookmarkEnd w:id="280"/>
          </w:p>
        </w:tc>
        <w:tc>
          <w:tcPr>
            <w:tcW w:w="613" w:type="pct"/>
            <w:shd w:val="clear" w:color="auto" w:fill="auto"/>
            <w:vAlign w:val="center"/>
          </w:tcPr>
          <w:p>
            <w:pPr>
              <w:spacing w:line="240" w:lineRule="auto"/>
              <w:jc w:val="center"/>
              <w:rPr>
                <w:rFonts w:ascii="Times New Roman" w:eastAsia="宋体"/>
                <w:sz w:val="18"/>
                <w:szCs w:val="18"/>
              </w:rPr>
            </w:pPr>
            <w:bookmarkStart w:id="281" w:name="_Toc110601089"/>
            <w:bookmarkStart w:id="282" w:name="_Toc110603134"/>
            <w:r>
              <w:rPr>
                <w:rFonts w:ascii="Times New Roman" w:eastAsia="宋体"/>
                <w:sz w:val="18"/>
                <w:szCs w:val="18"/>
              </w:rPr>
              <w:t>符合</w:t>
            </w:r>
            <w:bookmarkEnd w:id="281"/>
            <w:bookmarkEnd w:id="282"/>
          </w:p>
        </w:tc>
        <w:tc>
          <w:tcPr>
            <w:tcW w:w="613" w:type="pct"/>
            <w:shd w:val="clear" w:color="auto" w:fill="auto"/>
            <w:vAlign w:val="center"/>
          </w:tcPr>
          <w:p>
            <w:pPr>
              <w:spacing w:line="240" w:lineRule="auto"/>
              <w:jc w:val="center"/>
              <w:rPr>
                <w:rFonts w:ascii="Times New Roman" w:eastAsia="宋体"/>
                <w:sz w:val="18"/>
                <w:szCs w:val="18"/>
              </w:rPr>
            </w:pPr>
            <w:bookmarkStart w:id="283" w:name="_Toc110601090"/>
            <w:bookmarkStart w:id="284" w:name="_Toc110603135"/>
            <w:r>
              <w:rPr>
                <w:rFonts w:ascii="Times New Roman" w:eastAsia="宋体"/>
                <w:sz w:val="18"/>
                <w:szCs w:val="18"/>
              </w:rPr>
              <w:t>不符合</w:t>
            </w:r>
            <w:bookmarkEnd w:id="283"/>
            <w:bookmarkEnd w:id="284"/>
          </w:p>
        </w:tc>
        <w:tc>
          <w:tcPr>
            <w:tcW w:w="614" w:type="pct"/>
            <w:shd w:val="clear" w:color="auto" w:fill="auto"/>
            <w:vAlign w:val="center"/>
          </w:tcPr>
          <w:p>
            <w:pPr>
              <w:spacing w:line="240" w:lineRule="auto"/>
              <w:jc w:val="center"/>
              <w:rPr>
                <w:rFonts w:ascii="Times New Roman" w:eastAsia="宋体"/>
                <w:sz w:val="18"/>
                <w:szCs w:val="18"/>
              </w:rPr>
            </w:pPr>
            <w:bookmarkStart w:id="285" w:name="_Toc110603136"/>
            <w:bookmarkStart w:id="286" w:name="_Toc110601091"/>
            <w:r>
              <w:rPr>
                <w:rFonts w:ascii="Times New Roman" w:eastAsia="宋体"/>
                <w:sz w:val="18"/>
                <w:szCs w:val="18"/>
              </w:rPr>
              <w:t>符合</w:t>
            </w:r>
            <w:bookmarkEnd w:id="285"/>
            <w:bookmarkEnd w:id="286"/>
          </w:p>
        </w:tc>
        <w:tc>
          <w:tcPr>
            <w:tcW w:w="613" w:type="pct"/>
            <w:shd w:val="clear" w:color="auto" w:fill="auto"/>
            <w:vAlign w:val="center"/>
          </w:tcPr>
          <w:p>
            <w:pPr>
              <w:spacing w:line="240" w:lineRule="auto"/>
              <w:jc w:val="center"/>
              <w:rPr>
                <w:rFonts w:ascii="Times New Roman" w:eastAsia="宋体"/>
                <w:sz w:val="18"/>
                <w:szCs w:val="18"/>
              </w:rPr>
            </w:pPr>
            <w:bookmarkStart w:id="287" w:name="_Toc110601092"/>
            <w:bookmarkStart w:id="288" w:name="_Toc110603137"/>
            <w:r>
              <w:rPr>
                <w:rFonts w:ascii="Times New Roman" w:eastAsia="宋体"/>
                <w:sz w:val="18"/>
                <w:szCs w:val="18"/>
              </w:rPr>
              <w:t>不符合</w:t>
            </w:r>
            <w:bookmarkEnd w:id="287"/>
            <w:bookmarkEnd w:id="288"/>
          </w:p>
        </w:tc>
        <w:tc>
          <w:tcPr>
            <w:tcW w:w="613" w:type="pct"/>
            <w:shd w:val="clear" w:color="auto" w:fill="auto"/>
            <w:vAlign w:val="center"/>
          </w:tcPr>
          <w:p>
            <w:pPr>
              <w:spacing w:line="240" w:lineRule="auto"/>
              <w:jc w:val="center"/>
              <w:rPr>
                <w:rFonts w:ascii="Times New Roman" w:eastAsia="宋体"/>
                <w:sz w:val="18"/>
                <w:szCs w:val="18"/>
              </w:rPr>
            </w:pPr>
            <w:bookmarkStart w:id="289" w:name="_Toc110601093"/>
            <w:bookmarkStart w:id="290" w:name="_Toc110603138"/>
            <w:r>
              <w:rPr>
                <w:rFonts w:ascii="Times New Roman" w:eastAsia="宋体"/>
                <w:sz w:val="18"/>
                <w:szCs w:val="18"/>
              </w:rPr>
              <w:t>符合</w:t>
            </w:r>
            <w:bookmarkEnd w:id="289"/>
            <w:bookmarkEnd w:id="290"/>
          </w:p>
        </w:tc>
        <w:tc>
          <w:tcPr>
            <w:tcW w:w="614" w:type="pct"/>
            <w:shd w:val="clear" w:color="auto" w:fill="auto"/>
            <w:vAlign w:val="center"/>
          </w:tcPr>
          <w:p>
            <w:pPr>
              <w:spacing w:line="240" w:lineRule="auto"/>
              <w:jc w:val="center"/>
              <w:rPr>
                <w:rFonts w:ascii="Times New Roman" w:eastAsia="宋体"/>
                <w:sz w:val="18"/>
                <w:szCs w:val="18"/>
              </w:rPr>
            </w:pPr>
            <w:bookmarkStart w:id="291" w:name="_Toc110601094"/>
            <w:bookmarkStart w:id="292" w:name="_Toc110603139"/>
            <w:r>
              <w:rPr>
                <w:rFonts w:ascii="Times New Roman" w:eastAsia="宋体"/>
                <w:sz w:val="18"/>
                <w:szCs w:val="18"/>
              </w:rPr>
              <w:t>不符合</w:t>
            </w:r>
            <w:bookmarkEnd w:id="291"/>
            <w:bookmarkEnd w:id="2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293" w:name="_Toc110601097"/>
            <w:bookmarkStart w:id="294" w:name="_Toc110603142"/>
            <w:r>
              <w:rPr>
                <w:rFonts w:ascii="Times New Roman" w:eastAsia="宋体"/>
                <w:sz w:val="18"/>
                <w:szCs w:val="18"/>
              </w:rPr>
              <w:t>提升机</w:t>
            </w:r>
            <w:bookmarkEnd w:id="293"/>
            <w:bookmarkEnd w:id="294"/>
          </w:p>
        </w:tc>
        <w:tc>
          <w:tcPr>
            <w:tcW w:w="613" w:type="pct"/>
            <w:shd w:val="clear" w:color="auto" w:fill="auto"/>
            <w:vAlign w:val="center"/>
          </w:tcPr>
          <w:p>
            <w:pPr>
              <w:spacing w:line="240" w:lineRule="auto"/>
              <w:jc w:val="center"/>
              <w:rPr>
                <w:rFonts w:ascii="Times New Roman" w:eastAsia="宋体"/>
                <w:sz w:val="18"/>
                <w:szCs w:val="18"/>
              </w:rPr>
            </w:pPr>
            <w:bookmarkStart w:id="295" w:name="_Toc110601098"/>
            <w:bookmarkStart w:id="296" w:name="_Toc110603143"/>
            <w:r>
              <w:rPr>
                <w:rFonts w:ascii="Times New Roman" w:eastAsia="宋体"/>
                <w:sz w:val="18"/>
                <w:szCs w:val="18"/>
              </w:rPr>
              <w:t>符合</w:t>
            </w:r>
            <w:bookmarkEnd w:id="295"/>
            <w:bookmarkEnd w:id="296"/>
          </w:p>
        </w:tc>
        <w:tc>
          <w:tcPr>
            <w:tcW w:w="613" w:type="pct"/>
            <w:shd w:val="clear" w:color="auto" w:fill="auto"/>
            <w:vAlign w:val="center"/>
          </w:tcPr>
          <w:p>
            <w:pPr>
              <w:spacing w:line="240" w:lineRule="auto"/>
              <w:jc w:val="center"/>
              <w:rPr>
                <w:rFonts w:ascii="Times New Roman" w:eastAsia="宋体"/>
                <w:sz w:val="18"/>
                <w:szCs w:val="18"/>
              </w:rPr>
            </w:pPr>
            <w:bookmarkStart w:id="297" w:name="_Toc110601099"/>
            <w:bookmarkStart w:id="298" w:name="_Toc110603144"/>
            <w:r>
              <w:rPr>
                <w:rFonts w:ascii="Times New Roman" w:eastAsia="宋体"/>
                <w:sz w:val="18"/>
                <w:szCs w:val="18"/>
              </w:rPr>
              <w:t>不符合</w:t>
            </w:r>
            <w:bookmarkEnd w:id="297"/>
            <w:bookmarkEnd w:id="298"/>
          </w:p>
        </w:tc>
        <w:tc>
          <w:tcPr>
            <w:tcW w:w="614" w:type="pct"/>
            <w:shd w:val="clear" w:color="auto" w:fill="auto"/>
            <w:vAlign w:val="center"/>
          </w:tcPr>
          <w:p>
            <w:pPr>
              <w:spacing w:line="240" w:lineRule="auto"/>
              <w:jc w:val="center"/>
              <w:rPr>
                <w:rFonts w:ascii="Times New Roman" w:eastAsia="宋体"/>
                <w:sz w:val="18"/>
                <w:szCs w:val="18"/>
              </w:rPr>
            </w:pPr>
            <w:bookmarkStart w:id="299" w:name="_Toc110601100"/>
            <w:bookmarkStart w:id="300" w:name="_Toc110603145"/>
            <w:r>
              <w:rPr>
                <w:rFonts w:ascii="Times New Roman" w:eastAsia="宋体"/>
                <w:sz w:val="18"/>
                <w:szCs w:val="18"/>
              </w:rPr>
              <w:t>符合</w:t>
            </w:r>
            <w:bookmarkEnd w:id="299"/>
            <w:bookmarkEnd w:id="300"/>
          </w:p>
        </w:tc>
        <w:tc>
          <w:tcPr>
            <w:tcW w:w="613" w:type="pct"/>
            <w:shd w:val="clear" w:color="auto" w:fill="auto"/>
            <w:vAlign w:val="center"/>
          </w:tcPr>
          <w:p>
            <w:pPr>
              <w:spacing w:line="240" w:lineRule="auto"/>
              <w:jc w:val="center"/>
              <w:rPr>
                <w:rFonts w:ascii="Times New Roman" w:eastAsia="宋体"/>
                <w:sz w:val="18"/>
                <w:szCs w:val="18"/>
              </w:rPr>
            </w:pPr>
            <w:bookmarkStart w:id="301" w:name="_Toc110601101"/>
            <w:bookmarkStart w:id="302" w:name="_Toc110603146"/>
            <w:r>
              <w:rPr>
                <w:rFonts w:ascii="Times New Roman" w:eastAsia="宋体"/>
                <w:sz w:val="18"/>
                <w:szCs w:val="18"/>
              </w:rPr>
              <w:t>不符合</w:t>
            </w:r>
            <w:bookmarkEnd w:id="301"/>
            <w:bookmarkEnd w:id="302"/>
          </w:p>
        </w:tc>
        <w:tc>
          <w:tcPr>
            <w:tcW w:w="613" w:type="pct"/>
            <w:shd w:val="clear" w:color="auto" w:fill="auto"/>
            <w:vAlign w:val="center"/>
          </w:tcPr>
          <w:p>
            <w:pPr>
              <w:spacing w:line="240" w:lineRule="auto"/>
              <w:jc w:val="center"/>
              <w:rPr>
                <w:rFonts w:ascii="Times New Roman" w:eastAsia="宋体"/>
                <w:sz w:val="18"/>
                <w:szCs w:val="18"/>
              </w:rPr>
            </w:pPr>
            <w:bookmarkStart w:id="303" w:name="_Toc110601102"/>
            <w:bookmarkStart w:id="304" w:name="_Toc110603147"/>
            <w:r>
              <w:rPr>
                <w:rFonts w:ascii="Times New Roman" w:eastAsia="宋体"/>
                <w:sz w:val="18"/>
                <w:szCs w:val="18"/>
              </w:rPr>
              <w:t>符合</w:t>
            </w:r>
            <w:bookmarkEnd w:id="303"/>
            <w:bookmarkEnd w:id="304"/>
          </w:p>
        </w:tc>
        <w:tc>
          <w:tcPr>
            <w:tcW w:w="614" w:type="pct"/>
            <w:shd w:val="clear" w:color="auto" w:fill="auto"/>
            <w:vAlign w:val="center"/>
          </w:tcPr>
          <w:p>
            <w:pPr>
              <w:spacing w:line="240" w:lineRule="auto"/>
              <w:jc w:val="center"/>
              <w:rPr>
                <w:rFonts w:ascii="Times New Roman" w:eastAsia="宋体"/>
                <w:sz w:val="18"/>
                <w:szCs w:val="18"/>
              </w:rPr>
            </w:pPr>
            <w:bookmarkStart w:id="305" w:name="_Toc110601103"/>
            <w:bookmarkStart w:id="306" w:name="_Toc110603148"/>
            <w:r>
              <w:rPr>
                <w:rFonts w:ascii="Times New Roman" w:eastAsia="宋体"/>
                <w:sz w:val="18"/>
                <w:szCs w:val="18"/>
              </w:rPr>
              <w:t>不符合</w:t>
            </w:r>
            <w:bookmarkEnd w:id="305"/>
            <w:bookmarkEnd w:id="3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307" w:name="_Toc110601106"/>
            <w:bookmarkStart w:id="308" w:name="_Toc110603151"/>
            <w:r>
              <w:rPr>
                <w:rFonts w:ascii="Times New Roman" w:eastAsia="宋体"/>
                <w:sz w:val="18"/>
                <w:szCs w:val="18"/>
              </w:rPr>
              <w:t>烘前仓</w:t>
            </w:r>
            <w:bookmarkEnd w:id="307"/>
            <w:bookmarkEnd w:id="308"/>
          </w:p>
        </w:tc>
        <w:tc>
          <w:tcPr>
            <w:tcW w:w="613" w:type="pct"/>
            <w:shd w:val="clear" w:color="auto" w:fill="auto"/>
            <w:vAlign w:val="center"/>
          </w:tcPr>
          <w:p>
            <w:pPr>
              <w:spacing w:line="240" w:lineRule="auto"/>
              <w:jc w:val="center"/>
              <w:rPr>
                <w:rFonts w:ascii="Times New Roman" w:eastAsia="宋体"/>
                <w:sz w:val="18"/>
                <w:szCs w:val="18"/>
              </w:rPr>
            </w:pPr>
            <w:bookmarkStart w:id="309" w:name="_Toc110601107"/>
            <w:bookmarkStart w:id="310" w:name="_Toc110603152"/>
            <w:r>
              <w:rPr>
                <w:rFonts w:ascii="Times New Roman" w:eastAsia="宋体"/>
                <w:sz w:val="18"/>
                <w:szCs w:val="18"/>
              </w:rPr>
              <w:t>符合</w:t>
            </w:r>
            <w:bookmarkEnd w:id="309"/>
            <w:bookmarkEnd w:id="310"/>
          </w:p>
        </w:tc>
        <w:tc>
          <w:tcPr>
            <w:tcW w:w="613" w:type="pct"/>
            <w:shd w:val="clear" w:color="auto" w:fill="auto"/>
            <w:vAlign w:val="center"/>
          </w:tcPr>
          <w:p>
            <w:pPr>
              <w:spacing w:line="240" w:lineRule="auto"/>
              <w:jc w:val="center"/>
              <w:rPr>
                <w:rFonts w:ascii="Times New Roman" w:eastAsia="宋体"/>
                <w:sz w:val="18"/>
                <w:szCs w:val="18"/>
              </w:rPr>
            </w:pPr>
            <w:bookmarkStart w:id="311" w:name="_Toc110601108"/>
            <w:bookmarkStart w:id="312" w:name="_Toc110603153"/>
            <w:r>
              <w:rPr>
                <w:rFonts w:ascii="Times New Roman" w:eastAsia="宋体"/>
                <w:sz w:val="18"/>
                <w:szCs w:val="18"/>
              </w:rPr>
              <w:t>不符合</w:t>
            </w:r>
            <w:bookmarkEnd w:id="311"/>
            <w:bookmarkEnd w:id="312"/>
          </w:p>
        </w:tc>
        <w:tc>
          <w:tcPr>
            <w:tcW w:w="614" w:type="pct"/>
            <w:shd w:val="clear" w:color="auto" w:fill="auto"/>
            <w:vAlign w:val="center"/>
          </w:tcPr>
          <w:p>
            <w:pPr>
              <w:spacing w:line="240" w:lineRule="auto"/>
              <w:jc w:val="center"/>
              <w:rPr>
                <w:rFonts w:ascii="Times New Roman" w:eastAsia="宋体"/>
                <w:sz w:val="18"/>
                <w:szCs w:val="18"/>
              </w:rPr>
            </w:pPr>
            <w:bookmarkStart w:id="313" w:name="_Toc110601109"/>
            <w:bookmarkStart w:id="314" w:name="_Toc110603154"/>
            <w:r>
              <w:rPr>
                <w:rFonts w:ascii="Times New Roman" w:eastAsia="宋体"/>
                <w:sz w:val="18"/>
                <w:szCs w:val="18"/>
              </w:rPr>
              <w:t>符合</w:t>
            </w:r>
            <w:bookmarkEnd w:id="313"/>
            <w:bookmarkEnd w:id="314"/>
          </w:p>
        </w:tc>
        <w:tc>
          <w:tcPr>
            <w:tcW w:w="613" w:type="pct"/>
            <w:shd w:val="clear" w:color="auto" w:fill="auto"/>
            <w:vAlign w:val="center"/>
          </w:tcPr>
          <w:p>
            <w:pPr>
              <w:spacing w:line="240" w:lineRule="auto"/>
              <w:jc w:val="center"/>
              <w:rPr>
                <w:rFonts w:ascii="Times New Roman" w:eastAsia="宋体"/>
                <w:sz w:val="18"/>
                <w:szCs w:val="18"/>
              </w:rPr>
            </w:pPr>
            <w:bookmarkStart w:id="315" w:name="_Toc110601110"/>
            <w:bookmarkStart w:id="316" w:name="_Toc110603155"/>
            <w:r>
              <w:rPr>
                <w:rFonts w:ascii="Times New Roman" w:eastAsia="宋体"/>
                <w:sz w:val="18"/>
                <w:szCs w:val="18"/>
              </w:rPr>
              <w:t>不符合</w:t>
            </w:r>
            <w:bookmarkEnd w:id="315"/>
            <w:bookmarkEnd w:id="316"/>
          </w:p>
        </w:tc>
        <w:tc>
          <w:tcPr>
            <w:tcW w:w="613" w:type="pct"/>
            <w:shd w:val="clear" w:color="auto" w:fill="auto"/>
            <w:vAlign w:val="center"/>
          </w:tcPr>
          <w:p>
            <w:pPr>
              <w:spacing w:line="240" w:lineRule="auto"/>
              <w:jc w:val="center"/>
              <w:rPr>
                <w:rFonts w:ascii="Times New Roman" w:eastAsia="宋体"/>
                <w:sz w:val="18"/>
                <w:szCs w:val="18"/>
              </w:rPr>
            </w:pPr>
            <w:bookmarkStart w:id="317" w:name="_Toc110601111"/>
            <w:bookmarkStart w:id="318" w:name="_Toc110603156"/>
            <w:r>
              <w:rPr>
                <w:rFonts w:ascii="Times New Roman" w:eastAsia="宋体"/>
                <w:sz w:val="18"/>
                <w:szCs w:val="18"/>
              </w:rPr>
              <w:t>符合</w:t>
            </w:r>
            <w:bookmarkEnd w:id="317"/>
            <w:bookmarkEnd w:id="318"/>
          </w:p>
        </w:tc>
        <w:tc>
          <w:tcPr>
            <w:tcW w:w="614" w:type="pct"/>
            <w:shd w:val="clear" w:color="auto" w:fill="auto"/>
            <w:vAlign w:val="center"/>
          </w:tcPr>
          <w:p>
            <w:pPr>
              <w:spacing w:line="240" w:lineRule="auto"/>
              <w:jc w:val="center"/>
              <w:rPr>
                <w:rFonts w:ascii="Times New Roman" w:eastAsia="宋体"/>
                <w:sz w:val="18"/>
                <w:szCs w:val="18"/>
              </w:rPr>
            </w:pPr>
            <w:bookmarkStart w:id="319" w:name="_Toc110601112"/>
            <w:bookmarkStart w:id="320" w:name="_Toc110603157"/>
            <w:r>
              <w:rPr>
                <w:rFonts w:ascii="Times New Roman" w:eastAsia="宋体"/>
                <w:sz w:val="18"/>
                <w:szCs w:val="18"/>
              </w:rPr>
              <w:t>不符合</w:t>
            </w:r>
            <w:bookmarkEnd w:id="319"/>
            <w:bookmarkEnd w:id="3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刮板机/皮带输送机</w:t>
            </w:r>
          </w:p>
        </w:tc>
        <w:tc>
          <w:tcPr>
            <w:tcW w:w="613" w:type="pct"/>
            <w:shd w:val="clear" w:color="auto" w:fill="auto"/>
            <w:vAlign w:val="center"/>
          </w:tcPr>
          <w:p>
            <w:pPr>
              <w:spacing w:line="240" w:lineRule="auto"/>
              <w:jc w:val="center"/>
              <w:rPr>
                <w:rFonts w:ascii="Times New Roman" w:eastAsia="宋体"/>
                <w:sz w:val="18"/>
                <w:szCs w:val="18"/>
              </w:rPr>
            </w:pPr>
            <w:bookmarkStart w:id="321" w:name="_Toc110601116"/>
            <w:bookmarkStart w:id="322" w:name="_Toc110603161"/>
            <w:r>
              <w:rPr>
                <w:rFonts w:ascii="Times New Roman" w:eastAsia="宋体"/>
                <w:sz w:val="18"/>
                <w:szCs w:val="18"/>
              </w:rPr>
              <w:t>符合</w:t>
            </w:r>
            <w:bookmarkEnd w:id="321"/>
            <w:bookmarkEnd w:id="322"/>
          </w:p>
        </w:tc>
        <w:tc>
          <w:tcPr>
            <w:tcW w:w="613" w:type="pct"/>
            <w:shd w:val="clear" w:color="auto" w:fill="auto"/>
            <w:vAlign w:val="center"/>
          </w:tcPr>
          <w:p>
            <w:pPr>
              <w:spacing w:line="240" w:lineRule="auto"/>
              <w:jc w:val="center"/>
              <w:rPr>
                <w:rFonts w:ascii="Times New Roman" w:eastAsia="宋体"/>
                <w:sz w:val="18"/>
                <w:szCs w:val="18"/>
              </w:rPr>
            </w:pPr>
            <w:bookmarkStart w:id="323" w:name="_Toc110601117"/>
            <w:bookmarkStart w:id="324" w:name="_Toc110603162"/>
            <w:r>
              <w:rPr>
                <w:rFonts w:ascii="Times New Roman" w:eastAsia="宋体"/>
                <w:sz w:val="18"/>
                <w:szCs w:val="18"/>
              </w:rPr>
              <w:t>不符合</w:t>
            </w:r>
            <w:bookmarkEnd w:id="323"/>
            <w:bookmarkEnd w:id="324"/>
          </w:p>
        </w:tc>
        <w:tc>
          <w:tcPr>
            <w:tcW w:w="614" w:type="pct"/>
            <w:shd w:val="clear" w:color="auto" w:fill="auto"/>
            <w:vAlign w:val="center"/>
          </w:tcPr>
          <w:p>
            <w:pPr>
              <w:spacing w:line="240" w:lineRule="auto"/>
              <w:jc w:val="center"/>
              <w:rPr>
                <w:rFonts w:ascii="Times New Roman" w:eastAsia="宋体"/>
                <w:sz w:val="18"/>
                <w:szCs w:val="18"/>
              </w:rPr>
            </w:pPr>
            <w:bookmarkStart w:id="325" w:name="_Toc110601118"/>
            <w:bookmarkStart w:id="326" w:name="_Toc110603163"/>
            <w:r>
              <w:rPr>
                <w:rFonts w:ascii="Times New Roman" w:eastAsia="宋体"/>
                <w:sz w:val="18"/>
                <w:szCs w:val="18"/>
              </w:rPr>
              <w:t>符合</w:t>
            </w:r>
            <w:bookmarkEnd w:id="325"/>
            <w:bookmarkEnd w:id="326"/>
          </w:p>
        </w:tc>
        <w:tc>
          <w:tcPr>
            <w:tcW w:w="613" w:type="pct"/>
            <w:shd w:val="clear" w:color="auto" w:fill="auto"/>
            <w:vAlign w:val="center"/>
          </w:tcPr>
          <w:p>
            <w:pPr>
              <w:spacing w:line="240" w:lineRule="auto"/>
              <w:jc w:val="center"/>
              <w:rPr>
                <w:rFonts w:ascii="Times New Roman" w:eastAsia="宋体"/>
                <w:sz w:val="18"/>
                <w:szCs w:val="18"/>
              </w:rPr>
            </w:pPr>
            <w:bookmarkStart w:id="327" w:name="_Toc110601119"/>
            <w:bookmarkStart w:id="328" w:name="_Toc110603164"/>
            <w:r>
              <w:rPr>
                <w:rFonts w:ascii="Times New Roman" w:eastAsia="宋体"/>
                <w:sz w:val="18"/>
                <w:szCs w:val="18"/>
              </w:rPr>
              <w:t>不符合</w:t>
            </w:r>
            <w:bookmarkEnd w:id="327"/>
            <w:bookmarkEnd w:id="328"/>
          </w:p>
        </w:tc>
        <w:tc>
          <w:tcPr>
            <w:tcW w:w="613" w:type="pct"/>
            <w:shd w:val="clear" w:color="auto" w:fill="auto"/>
            <w:vAlign w:val="center"/>
          </w:tcPr>
          <w:p>
            <w:pPr>
              <w:spacing w:line="240" w:lineRule="auto"/>
              <w:jc w:val="center"/>
              <w:rPr>
                <w:rFonts w:ascii="Times New Roman" w:eastAsia="宋体"/>
                <w:sz w:val="18"/>
                <w:szCs w:val="18"/>
              </w:rPr>
            </w:pPr>
            <w:bookmarkStart w:id="329" w:name="_Toc110601120"/>
            <w:bookmarkStart w:id="330" w:name="_Toc110603165"/>
            <w:r>
              <w:rPr>
                <w:rFonts w:ascii="Times New Roman" w:eastAsia="宋体"/>
                <w:sz w:val="18"/>
                <w:szCs w:val="18"/>
              </w:rPr>
              <w:t>符合</w:t>
            </w:r>
            <w:bookmarkEnd w:id="329"/>
            <w:bookmarkEnd w:id="330"/>
          </w:p>
        </w:tc>
        <w:tc>
          <w:tcPr>
            <w:tcW w:w="614" w:type="pct"/>
            <w:shd w:val="clear" w:color="auto" w:fill="auto"/>
            <w:vAlign w:val="center"/>
          </w:tcPr>
          <w:p>
            <w:pPr>
              <w:spacing w:line="240" w:lineRule="auto"/>
              <w:jc w:val="center"/>
              <w:rPr>
                <w:rFonts w:ascii="Times New Roman" w:eastAsia="宋体"/>
                <w:sz w:val="18"/>
                <w:szCs w:val="18"/>
              </w:rPr>
            </w:pPr>
            <w:bookmarkStart w:id="331" w:name="_Toc110601121"/>
            <w:bookmarkStart w:id="332" w:name="_Toc110603166"/>
            <w:r>
              <w:rPr>
                <w:rFonts w:ascii="Times New Roman" w:eastAsia="宋体"/>
                <w:sz w:val="18"/>
                <w:szCs w:val="18"/>
              </w:rPr>
              <w:t>不符合</w:t>
            </w:r>
            <w:bookmarkEnd w:id="331"/>
            <w:bookmarkEnd w:id="3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333" w:name="_Toc110601124"/>
            <w:bookmarkStart w:id="334" w:name="_Toc110603169"/>
            <w:r>
              <w:rPr>
                <w:rFonts w:ascii="Times New Roman" w:eastAsia="宋体"/>
                <w:sz w:val="18"/>
                <w:szCs w:val="18"/>
              </w:rPr>
              <w:t>烘干机</w:t>
            </w:r>
            <w:bookmarkEnd w:id="333"/>
            <w:bookmarkEnd w:id="334"/>
          </w:p>
        </w:tc>
        <w:tc>
          <w:tcPr>
            <w:tcW w:w="613" w:type="pct"/>
            <w:shd w:val="clear" w:color="auto" w:fill="auto"/>
            <w:vAlign w:val="center"/>
          </w:tcPr>
          <w:p>
            <w:pPr>
              <w:spacing w:line="240" w:lineRule="auto"/>
              <w:jc w:val="center"/>
              <w:rPr>
                <w:rFonts w:ascii="Times New Roman" w:eastAsia="宋体"/>
                <w:sz w:val="18"/>
                <w:szCs w:val="18"/>
              </w:rPr>
            </w:pPr>
            <w:bookmarkStart w:id="335" w:name="_Toc110601125"/>
            <w:bookmarkStart w:id="336" w:name="_Toc110603170"/>
            <w:r>
              <w:rPr>
                <w:rFonts w:ascii="Times New Roman" w:eastAsia="宋体"/>
                <w:sz w:val="18"/>
                <w:szCs w:val="18"/>
              </w:rPr>
              <w:t>符合</w:t>
            </w:r>
            <w:bookmarkEnd w:id="335"/>
            <w:bookmarkEnd w:id="336"/>
          </w:p>
        </w:tc>
        <w:tc>
          <w:tcPr>
            <w:tcW w:w="613" w:type="pct"/>
            <w:shd w:val="clear" w:color="auto" w:fill="auto"/>
            <w:vAlign w:val="center"/>
          </w:tcPr>
          <w:p>
            <w:pPr>
              <w:spacing w:line="240" w:lineRule="auto"/>
              <w:jc w:val="center"/>
              <w:rPr>
                <w:rFonts w:ascii="Times New Roman" w:eastAsia="宋体"/>
                <w:sz w:val="18"/>
                <w:szCs w:val="18"/>
              </w:rPr>
            </w:pPr>
            <w:bookmarkStart w:id="337" w:name="_Toc110601126"/>
            <w:bookmarkStart w:id="338" w:name="_Toc110603171"/>
            <w:r>
              <w:rPr>
                <w:rFonts w:ascii="Times New Roman" w:eastAsia="宋体"/>
                <w:sz w:val="18"/>
                <w:szCs w:val="18"/>
              </w:rPr>
              <w:t>不符合</w:t>
            </w:r>
            <w:bookmarkEnd w:id="337"/>
            <w:bookmarkEnd w:id="338"/>
          </w:p>
        </w:tc>
        <w:tc>
          <w:tcPr>
            <w:tcW w:w="614" w:type="pct"/>
            <w:shd w:val="clear" w:color="auto" w:fill="auto"/>
            <w:vAlign w:val="center"/>
          </w:tcPr>
          <w:p>
            <w:pPr>
              <w:spacing w:line="240" w:lineRule="auto"/>
              <w:jc w:val="center"/>
              <w:rPr>
                <w:rFonts w:ascii="Times New Roman" w:eastAsia="宋体"/>
                <w:sz w:val="18"/>
                <w:szCs w:val="18"/>
              </w:rPr>
            </w:pPr>
            <w:bookmarkStart w:id="339" w:name="_Toc110601127"/>
            <w:bookmarkStart w:id="340" w:name="_Toc110603172"/>
            <w:r>
              <w:rPr>
                <w:rFonts w:ascii="Times New Roman" w:eastAsia="宋体"/>
                <w:sz w:val="18"/>
                <w:szCs w:val="18"/>
              </w:rPr>
              <w:t>符合</w:t>
            </w:r>
            <w:bookmarkEnd w:id="339"/>
            <w:bookmarkEnd w:id="340"/>
          </w:p>
        </w:tc>
        <w:tc>
          <w:tcPr>
            <w:tcW w:w="613" w:type="pct"/>
            <w:shd w:val="clear" w:color="auto" w:fill="auto"/>
            <w:vAlign w:val="center"/>
          </w:tcPr>
          <w:p>
            <w:pPr>
              <w:spacing w:line="240" w:lineRule="auto"/>
              <w:jc w:val="center"/>
              <w:rPr>
                <w:rFonts w:ascii="Times New Roman" w:eastAsia="宋体"/>
                <w:sz w:val="18"/>
                <w:szCs w:val="18"/>
              </w:rPr>
            </w:pPr>
            <w:bookmarkStart w:id="341" w:name="_Toc110601128"/>
            <w:bookmarkStart w:id="342" w:name="_Toc110603173"/>
            <w:r>
              <w:rPr>
                <w:rFonts w:ascii="Times New Roman" w:eastAsia="宋体"/>
                <w:sz w:val="18"/>
                <w:szCs w:val="18"/>
              </w:rPr>
              <w:t>不符合</w:t>
            </w:r>
            <w:bookmarkEnd w:id="341"/>
            <w:bookmarkEnd w:id="342"/>
          </w:p>
        </w:tc>
        <w:tc>
          <w:tcPr>
            <w:tcW w:w="613" w:type="pct"/>
            <w:shd w:val="clear" w:color="auto" w:fill="auto"/>
            <w:vAlign w:val="center"/>
          </w:tcPr>
          <w:p>
            <w:pPr>
              <w:spacing w:line="240" w:lineRule="auto"/>
              <w:jc w:val="center"/>
              <w:rPr>
                <w:rFonts w:ascii="Times New Roman" w:eastAsia="宋体"/>
                <w:sz w:val="18"/>
                <w:szCs w:val="18"/>
              </w:rPr>
            </w:pPr>
            <w:bookmarkStart w:id="343" w:name="_Toc110601129"/>
            <w:bookmarkStart w:id="344" w:name="_Toc110603174"/>
            <w:r>
              <w:rPr>
                <w:rFonts w:ascii="Times New Roman" w:eastAsia="宋体"/>
                <w:sz w:val="18"/>
                <w:szCs w:val="18"/>
              </w:rPr>
              <w:t>符合</w:t>
            </w:r>
            <w:bookmarkEnd w:id="343"/>
            <w:bookmarkEnd w:id="344"/>
          </w:p>
        </w:tc>
        <w:tc>
          <w:tcPr>
            <w:tcW w:w="614" w:type="pct"/>
            <w:shd w:val="clear" w:color="auto" w:fill="auto"/>
            <w:vAlign w:val="center"/>
          </w:tcPr>
          <w:p>
            <w:pPr>
              <w:spacing w:line="240" w:lineRule="auto"/>
              <w:jc w:val="center"/>
              <w:rPr>
                <w:rFonts w:ascii="Times New Roman" w:eastAsia="宋体"/>
                <w:sz w:val="18"/>
                <w:szCs w:val="18"/>
              </w:rPr>
            </w:pPr>
            <w:bookmarkStart w:id="345" w:name="_Toc110601130"/>
            <w:bookmarkStart w:id="346" w:name="_Toc110603175"/>
            <w:r>
              <w:rPr>
                <w:rFonts w:ascii="Times New Roman" w:eastAsia="宋体"/>
                <w:sz w:val="18"/>
                <w:szCs w:val="18"/>
              </w:rPr>
              <w:t>不符合</w:t>
            </w:r>
            <w:bookmarkEnd w:id="345"/>
            <w:bookmarkEnd w:id="3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347" w:name="_Toc110601133"/>
            <w:bookmarkStart w:id="348" w:name="_Toc110603178"/>
            <w:r>
              <w:rPr>
                <w:rFonts w:ascii="Times New Roman" w:eastAsia="宋体"/>
                <w:sz w:val="18"/>
                <w:szCs w:val="18"/>
              </w:rPr>
              <w:t>烘后仓</w:t>
            </w:r>
            <w:bookmarkEnd w:id="347"/>
            <w:bookmarkEnd w:id="348"/>
          </w:p>
        </w:tc>
        <w:tc>
          <w:tcPr>
            <w:tcW w:w="613" w:type="pct"/>
            <w:shd w:val="clear" w:color="auto" w:fill="auto"/>
            <w:vAlign w:val="center"/>
          </w:tcPr>
          <w:p>
            <w:pPr>
              <w:spacing w:line="240" w:lineRule="auto"/>
              <w:jc w:val="center"/>
              <w:rPr>
                <w:rFonts w:ascii="Times New Roman" w:eastAsia="宋体"/>
                <w:sz w:val="18"/>
                <w:szCs w:val="18"/>
              </w:rPr>
            </w:pPr>
            <w:bookmarkStart w:id="349" w:name="_Toc110601134"/>
            <w:bookmarkStart w:id="350" w:name="_Toc110603179"/>
            <w:r>
              <w:rPr>
                <w:rFonts w:ascii="Times New Roman" w:eastAsia="宋体"/>
                <w:sz w:val="18"/>
                <w:szCs w:val="18"/>
              </w:rPr>
              <w:t>符合</w:t>
            </w:r>
            <w:bookmarkEnd w:id="349"/>
            <w:bookmarkEnd w:id="350"/>
          </w:p>
        </w:tc>
        <w:tc>
          <w:tcPr>
            <w:tcW w:w="613" w:type="pct"/>
            <w:shd w:val="clear" w:color="auto" w:fill="auto"/>
            <w:vAlign w:val="center"/>
          </w:tcPr>
          <w:p>
            <w:pPr>
              <w:spacing w:line="240" w:lineRule="auto"/>
              <w:jc w:val="center"/>
              <w:rPr>
                <w:rFonts w:ascii="Times New Roman" w:eastAsia="宋体"/>
                <w:sz w:val="18"/>
                <w:szCs w:val="18"/>
              </w:rPr>
            </w:pPr>
            <w:bookmarkStart w:id="351" w:name="_Toc110601135"/>
            <w:bookmarkStart w:id="352" w:name="_Toc110603180"/>
            <w:r>
              <w:rPr>
                <w:rFonts w:ascii="Times New Roman" w:eastAsia="宋体"/>
                <w:sz w:val="18"/>
                <w:szCs w:val="18"/>
              </w:rPr>
              <w:t>不符合</w:t>
            </w:r>
            <w:bookmarkEnd w:id="351"/>
            <w:bookmarkEnd w:id="352"/>
          </w:p>
        </w:tc>
        <w:tc>
          <w:tcPr>
            <w:tcW w:w="614" w:type="pct"/>
            <w:shd w:val="clear" w:color="auto" w:fill="auto"/>
            <w:vAlign w:val="center"/>
          </w:tcPr>
          <w:p>
            <w:pPr>
              <w:spacing w:line="240" w:lineRule="auto"/>
              <w:jc w:val="center"/>
              <w:rPr>
                <w:rFonts w:ascii="Times New Roman" w:eastAsia="宋体"/>
                <w:sz w:val="18"/>
                <w:szCs w:val="18"/>
              </w:rPr>
            </w:pPr>
            <w:bookmarkStart w:id="353" w:name="_Toc110601136"/>
            <w:bookmarkStart w:id="354" w:name="_Toc110603181"/>
            <w:r>
              <w:rPr>
                <w:rFonts w:ascii="Times New Roman" w:eastAsia="宋体"/>
                <w:sz w:val="18"/>
                <w:szCs w:val="18"/>
              </w:rPr>
              <w:t>符合</w:t>
            </w:r>
            <w:bookmarkEnd w:id="353"/>
            <w:bookmarkEnd w:id="354"/>
          </w:p>
        </w:tc>
        <w:tc>
          <w:tcPr>
            <w:tcW w:w="613" w:type="pct"/>
            <w:shd w:val="clear" w:color="auto" w:fill="auto"/>
            <w:vAlign w:val="center"/>
          </w:tcPr>
          <w:p>
            <w:pPr>
              <w:spacing w:line="240" w:lineRule="auto"/>
              <w:jc w:val="center"/>
              <w:rPr>
                <w:rFonts w:ascii="Times New Roman" w:eastAsia="宋体"/>
                <w:sz w:val="18"/>
                <w:szCs w:val="18"/>
              </w:rPr>
            </w:pPr>
            <w:bookmarkStart w:id="355" w:name="_Toc110601137"/>
            <w:bookmarkStart w:id="356" w:name="_Toc110603182"/>
            <w:r>
              <w:rPr>
                <w:rFonts w:ascii="Times New Roman" w:eastAsia="宋体"/>
                <w:sz w:val="18"/>
                <w:szCs w:val="18"/>
              </w:rPr>
              <w:t>不符合</w:t>
            </w:r>
            <w:bookmarkEnd w:id="355"/>
            <w:bookmarkEnd w:id="356"/>
          </w:p>
        </w:tc>
        <w:tc>
          <w:tcPr>
            <w:tcW w:w="613" w:type="pct"/>
            <w:shd w:val="clear" w:color="auto" w:fill="auto"/>
            <w:vAlign w:val="center"/>
          </w:tcPr>
          <w:p>
            <w:pPr>
              <w:spacing w:line="240" w:lineRule="auto"/>
              <w:jc w:val="center"/>
              <w:rPr>
                <w:rFonts w:ascii="Times New Roman" w:eastAsia="宋体"/>
                <w:sz w:val="18"/>
                <w:szCs w:val="18"/>
              </w:rPr>
            </w:pPr>
            <w:bookmarkStart w:id="357" w:name="_Toc110601138"/>
            <w:bookmarkStart w:id="358" w:name="_Toc110603183"/>
            <w:r>
              <w:rPr>
                <w:rFonts w:ascii="Times New Roman" w:eastAsia="宋体"/>
                <w:sz w:val="18"/>
                <w:szCs w:val="18"/>
              </w:rPr>
              <w:t>符合</w:t>
            </w:r>
            <w:bookmarkEnd w:id="357"/>
            <w:bookmarkEnd w:id="358"/>
          </w:p>
        </w:tc>
        <w:tc>
          <w:tcPr>
            <w:tcW w:w="614" w:type="pct"/>
            <w:shd w:val="clear" w:color="auto" w:fill="auto"/>
            <w:vAlign w:val="center"/>
          </w:tcPr>
          <w:p>
            <w:pPr>
              <w:spacing w:line="240" w:lineRule="auto"/>
              <w:jc w:val="center"/>
              <w:rPr>
                <w:rFonts w:ascii="Times New Roman" w:eastAsia="宋体"/>
                <w:sz w:val="18"/>
                <w:szCs w:val="18"/>
              </w:rPr>
            </w:pPr>
            <w:bookmarkStart w:id="359" w:name="_Toc110601139"/>
            <w:bookmarkStart w:id="360" w:name="_Toc110603184"/>
            <w:r>
              <w:rPr>
                <w:rFonts w:ascii="Times New Roman" w:eastAsia="宋体"/>
                <w:sz w:val="18"/>
                <w:szCs w:val="18"/>
              </w:rPr>
              <w:t>不符合</w:t>
            </w:r>
            <w:bookmarkEnd w:id="359"/>
            <w:bookmarkEnd w:id="3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bookmarkStart w:id="361" w:name="_Toc110601160"/>
            <w:bookmarkStart w:id="362" w:name="_Toc110603205"/>
            <w:r>
              <w:rPr>
                <w:rFonts w:ascii="Times New Roman" w:eastAsia="宋体"/>
                <w:sz w:val="18"/>
                <w:szCs w:val="18"/>
              </w:rPr>
              <w:t>配电柜</w:t>
            </w:r>
            <w:bookmarkEnd w:id="361"/>
            <w:bookmarkEnd w:id="362"/>
          </w:p>
        </w:tc>
        <w:tc>
          <w:tcPr>
            <w:tcW w:w="613" w:type="pct"/>
            <w:shd w:val="clear" w:color="auto" w:fill="auto"/>
            <w:vAlign w:val="center"/>
          </w:tcPr>
          <w:p>
            <w:pPr>
              <w:spacing w:line="240" w:lineRule="auto"/>
              <w:jc w:val="center"/>
              <w:rPr>
                <w:rFonts w:ascii="Times New Roman" w:eastAsia="宋体"/>
                <w:sz w:val="18"/>
                <w:szCs w:val="18"/>
              </w:rPr>
            </w:pPr>
            <w:bookmarkStart w:id="363" w:name="_Toc110601161"/>
            <w:bookmarkStart w:id="364" w:name="_Toc110603206"/>
            <w:r>
              <w:rPr>
                <w:rFonts w:ascii="Times New Roman" w:eastAsia="宋体"/>
                <w:sz w:val="18"/>
                <w:szCs w:val="18"/>
              </w:rPr>
              <w:t>符合</w:t>
            </w:r>
            <w:bookmarkEnd w:id="363"/>
            <w:bookmarkEnd w:id="364"/>
          </w:p>
        </w:tc>
        <w:tc>
          <w:tcPr>
            <w:tcW w:w="613" w:type="pct"/>
            <w:shd w:val="clear" w:color="auto" w:fill="auto"/>
            <w:vAlign w:val="center"/>
          </w:tcPr>
          <w:p>
            <w:pPr>
              <w:spacing w:line="240" w:lineRule="auto"/>
              <w:jc w:val="center"/>
              <w:rPr>
                <w:rFonts w:ascii="Times New Roman" w:eastAsia="宋体"/>
                <w:sz w:val="18"/>
                <w:szCs w:val="18"/>
              </w:rPr>
            </w:pPr>
            <w:bookmarkStart w:id="365" w:name="_Toc110601162"/>
            <w:bookmarkStart w:id="366" w:name="_Toc110603207"/>
            <w:r>
              <w:rPr>
                <w:rFonts w:ascii="Times New Roman" w:eastAsia="宋体"/>
                <w:sz w:val="18"/>
                <w:szCs w:val="18"/>
              </w:rPr>
              <w:t>不符合</w:t>
            </w:r>
            <w:bookmarkEnd w:id="365"/>
            <w:bookmarkEnd w:id="366"/>
          </w:p>
        </w:tc>
        <w:tc>
          <w:tcPr>
            <w:tcW w:w="614" w:type="pct"/>
            <w:shd w:val="clear" w:color="auto" w:fill="auto"/>
            <w:vAlign w:val="center"/>
          </w:tcPr>
          <w:p>
            <w:pPr>
              <w:spacing w:line="240" w:lineRule="auto"/>
              <w:jc w:val="center"/>
              <w:rPr>
                <w:rFonts w:ascii="Times New Roman" w:eastAsia="宋体"/>
                <w:sz w:val="18"/>
                <w:szCs w:val="18"/>
              </w:rPr>
            </w:pPr>
            <w:bookmarkStart w:id="367" w:name="_Toc110601163"/>
            <w:bookmarkStart w:id="368" w:name="_Toc110603208"/>
            <w:r>
              <w:rPr>
                <w:rFonts w:ascii="Times New Roman" w:eastAsia="宋体"/>
                <w:sz w:val="18"/>
                <w:szCs w:val="18"/>
              </w:rPr>
              <w:t>符合</w:t>
            </w:r>
            <w:bookmarkEnd w:id="367"/>
            <w:bookmarkEnd w:id="368"/>
          </w:p>
        </w:tc>
        <w:tc>
          <w:tcPr>
            <w:tcW w:w="613" w:type="pct"/>
            <w:shd w:val="clear" w:color="auto" w:fill="auto"/>
            <w:vAlign w:val="center"/>
          </w:tcPr>
          <w:p>
            <w:pPr>
              <w:spacing w:line="240" w:lineRule="auto"/>
              <w:jc w:val="center"/>
              <w:rPr>
                <w:rFonts w:ascii="Times New Roman" w:eastAsia="宋体"/>
                <w:sz w:val="18"/>
                <w:szCs w:val="18"/>
              </w:rPr>
            </w:pPr>
            <w:bookmarkStart w:id="369" w:name="_Toc110601164"/>
            <w:bookmarkStart w:id="370" w:name="_Toc110603209"/>
            <w:r>
              <w:rPr>
                <w:rFonts w:ascii="Times New Roman" w:eastAsia="宋体"/>
                <w:sz w:val="18"/>
                <w:szCs w:val="18"/>
              </w:rPr>
              <w:t>不符合</w:t>
            </w:r>
            <w:bookmarkEnd w:id="369"/>
            <w:bookmarkEnd w:id="370"/>
          </w:p>
        </w:tc>
        <w:tc>
          <w:tcPr>
            <w:tcW w:w="613" w:type="pct"/>
            <w:shd w:val="clear" w:color="auto" w:fill="auto"/>
            <w:vAlign w:val="center"/>
          </w:tcPr>
          <w:p>
            <w:pPr>
              <w:spacing w:line="240" w:lineRule="auto"/>
              <w:jc w:val="center"/>
              <w:rPr>
                <w:rFonts w:ascii="Times New Roman" w:eastAsia="宋体"/>
                <w:sz w:val="18"/>
                <w:szCs w:val="18"/>
              </w:rPr>
            </w:pPr>
            <w:bookmarkStart w:id="371" w:name="_Toc110601165"/>
            <w:bookmarkStart w:id="372" w:name="_Toc110603210"/>
            <w:r>
              <w:rPr>
                <w:rFonts w:ascii="Times New Roman" w:eastAsia="宋体"/>
                <w:sz w:val="18"/>
                <w:szCs w:val="18"/>
              </w:rPr>
              <w:t>符合</w:t>
            </w:r>
            <w:bookmarkEnd w:id="371"/>
            <w:bookmarkEnd w:id="372"/>
          </w:p>
        </w:tc>
        <w:tc>
          <w:tcPr>
            <w:tcW w:w="614" w:type="pct"/>
            <w:shd w:val="clear" w:color="auto" w:fill="auto"/>
            <w:vAlign w:val="center"/>
          </w:tcPr>
          <w:p>
            <w:pPr>
              <w:spacing w:line="240" w:lineRule="auto"/>
              <w:jc w:val="center"/>
              <w:rPr>
                <w:rFonts w:ascii="Times New Roman" w:eastAsia="宋体"/>
                <w:sz w:val="18"/>
                <w:szCs w:val="18"/>
              </w:rPr>
            </w:pPr>
            <w:bookmarkStart w:id="373" w:name="_Toc110601166"/>
            <w:bookmarkStart w:id="374" w:name="_Toc110603211"/>
            <w:r>
              <w:rPr>
                <w:rFonts w:ascii="Times New Roman" w:eastAsia="宋体"/>
                <w:sz w:val="18"/>
                <w:szCs w:val="18"/>
              </w:rPr>
              <w:t>不符合</w:t>
            </w:r>
            <w:bookmarkEnd w:id="373"/>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3" w:type="pct"/>
            <w:shd w:val="clear" w:color="auto" w:fill="auto"/>
            <w:vAlign w:val="center"/>
          </w:tcPr>
          <w:p>
            <w:pPr>
              <w:spacing w:line="240" w:lineRule="auto"/>
              <w:jc w:val="center"/>
              <w:rPr>
                <w:rFonts w:ascii="Times New Roman" w:eastAsia="宋体"/>
                <w:sz w:val="18"/>
                <w:szCs w:val="18"/>
              </w:rPr>
            </w:pPr>
          </w:p>
        </w:tc>
        <w:tc>
          <w:tcPr>
            <w:tcW w:w="614"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shd w:val="clear" w:color="auto" w:fill="auto"/>
            <w:vAlign w:val="center"/>
          </w:tcPr>
          <w:p>
            <w:pPr>
              <w:spacing w:line="240" w:lineRule="auto"/>
              <w:jc w:val="center"/>
              <w:rPr>
                <w:rFonts w:ascii="Times New Roman" w:eastAsia="宋体"/>
                <w:sz w:val="18"/>
                <w:szCs w:val="18"/>
              </w:rPr>
            </w:pPr>
            <w:bookmarkStart w:id="375" w:name="_Toc110601169"/>
            <w:bookmarkStart w:id="376" w:name="_Toc110603214"/>
            <w:r>
              <w:rPr>
                <w:rFonts w:ascii="Times New Roman" w:eastAsia="宋体"/>
                <w:sz w:val="18"/>
                <w:szCs w:val="18"/>
              </w:rPr>
              <w:t>生产线加工产品指标验收</w:t>
            </w:r>
            <w:bookmarkEnd w:id="375"/>
            <w:bookmarkEnd w:id="376"/>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处理量</w:t>
            </w:r>
          </w:p>
        </w:tc>
        <w:tc>
          <w:tcPr>
            <w:tcW w:w="1840" w:type="pct"/>
            <w:gridSpan w:val="3"/>
            <w:shd w:val="clear" w:color="auto" w:fill="auto"/>
            <w:vAlign w:val="center"/>
          </w:tcPr>
          <w:p>
            <w:pPr>
              <w:spacing w:line="240" w:lineRule="auto"/>
              <w:jc w:val="center"/>
              <w:rPr>
                <w:rFonts w:ascii="Times New Roman" w:eastAsia="宋体"/>
                <w:sz w:val="18"/>
                <w:szCs w:val="18"/>
              </w:rPr>
            </w:pPr>
            <w:bookmarkStart w:id="377" w:name="_Toc110601171"/>
            <w:bookmarkStart w:id="378" w:name="_Toc110603216"/>
            <w:r>
              <w:rPr>
                <w:rFonts w:ascii="Times New Roman" w:eastAsia="宋体"/>
                <w:sz w:val="18"/>
                <w:szCs w:val="18"/>
              </w:rPr>
              <w:t>符合</w:t>
            </w:r>
          </w:p>
          <w:bookmarkEnd w:id="377"/>
          <w:bookmarkEnd w:id="378"/>
        </w:tc>
        <w:tc>
          <w:tcPr>
            <w:tcW w:w="1840" w:type="pct"/>
            <w:gridSpan w:val="3"/>
            <w:shd w:val="clear" w:color="auto" w:fill="auto"/>
            <w:vAlign w:val="center"/>
          </w:tcPr>
          <w:p>
            <w:pPr>
              <w:spacing w:line="240" w:lineRule="auto"/>
              <w:jc w:val="center"/>
              <w:rPr>
                <w:rFonts w:ascii="Times New Roman" w:eastAsia="宋体"/>
                <w:sz w:val="18"/>
                <w:szCs w:val="18"/>
              </w:rPr>
            </w:pPr>
            <w:bookmarkStart w:id="379" w:name="_Toc110601172"/>
            <w:bookmarkStart w:id="380" w:name="_Toc110603217"/>
            <w:r>
              <w:rPr>
                <w:rFonts w:ascii="Times New Roman" w:eastAsia="宋体"/>
                <w:sz w:val="18"/>
                <w:szCs w:val="18"/>
              </w:rPr>
              <w:t>不符合</w:t>
            </w:r>
            <w:bookmarkEnd w:id="379"/>
            <w:bookmarkEnd w:id="3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烘干不均匀度</w:t>
            </w:r>
          </w:p>
        </w:tc>
        <w:tc>
          <w:tcPr>
            <w:tcW w:w="1840" w:type="pct"/>
            <w:gridSpan w:val="3"/>
            <w:shd w:val="clear" w:color="auto" w:fill="auto"/>
            <w:vAlign w:val="center"/>
          </w:tcPr>
          <w:p>
            <w:pPr>
              <w:spacing w:line="240" w:lineRule="auto"/>
              <w:jc w:val="center"/>
              <w:rPr>
                <w:rFonts w:ascii="Times New Roman" w:eastAsia="宋体"/>
                <w:sz w:val="18"/>
                <w:szCs w:val="18"/>
              </w:rPr>
            </w:pPr>
            <w:bookmarkStart w:id="381" w:name="_Toc110601174"/>
            <w:bookmarkStart w:id="382" w:name="_Toc110603219"/>
            <w:r>
              <w:rPr>
                <w:rFonts w:ascii="Times New Roman" w:eastAsia="宋体"/>
                <w:sz w:val="18"/>
                <w:szCs w:val="18"/>
              </w:rPr>
              <w:t>符合</w:t>
            </w:r>
            <w:bookmarkEnd w:id="381"/>
            <w:bookmarkEnd w:id="382"/>
          </w:p>
        </w:tc>
        <w:tc>
          <w:tcPr>
            <w:tcW w:w="1840" w:type="pct"/>
            <w:gridSpan w:val="3"/>
            <w:shd w:val="clear" w:color="auto" w:fill="auto"/>
            <w:vAlign w:val="center"/>
          </w:tcPr>
          <w:p>
            <w:pPr>
              <w:spacing w:line="240" w:lineRule="auto"/>
              <w:jc w:val="center"/>
              <w:rPr>
                <w:rFonts w:ascii="Times New Roman" w:eastAsia="宋体"/>
                <w:sz w:val="18"/>
                <w:szCs w:val="18"/>
              </w:rPr>
            </w:pPr>
            <w:bookmarkStart w:id="383" w:name="_Toc110601175"/>
            <w:bookmarkStart w:id="384" w:name="_Toc110603220"/>
            <w:r>
              <w:rPr>
                <w:rFonts w:ascii="Times New Roman" w:eastAsia="宋体"/>
                <w:sz w:val="18"/>
                <w:szCs w:val="18"/>
              </w:rPr>
              <w:t>不符合</w:t>
            </w:r>
            <w:bookmarkEnd w:id="383"/>
            <w:bookmarkEnd w:id="3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热风温度</w:t>
            </w:r>
          </w:p>
          <w:p>
            <w:pPr>
              <w:spacing w:line="240" w:lineRule="auto"/>
              <w:jc w:val="center"/>
              <w:rPr>
                <w:rFonts w:ascii="Times New Roman" w:eastAsia="宋体"/>
                <w:sz w:val="18"/>
                <w:szCs w:val="18"/>
              </w:rPr>
            </w:pPr>
            <w:r>
              <w:rPr>
                <w:rFonts w:ascii="Times New Roman" w:eastAsia="宋体"/>
                <w:sz w:val="18"/>
                <w:szCs w:val="18"/>
              </w:rPr>
              <w:t>波动范围</w:t>
            </w:r>
          </w:p>
        </w:tc>
        <w:tc>
          <w:tcPr>
            <w:tcW w:w="1840" w:type="pct"/>
            <w:gridSpan w:val="3"/>
            <w:shd w:val="clear" w:color="auto" w:fill="auto"/>
            <w:vAlign w:val="center"/>
          </w:tcPr>
          <w:p>
            <w:pPr>
              <w:spacing w:line="240" w:lineRule="auto"/>
              <w:jc w:val="center"/>
              <w:rPr>
                <w:rFonts w:ascii="Times New Roman" w:eastAsia="宋体"/>
                <w:sz w:val="18"/>
                <w:szCs w:val="18"/>
              </w:rPr>
            </w:pPr>
            <w:bookmarkStart w:id="385" w:name="_Toc110601177"/>
            <w:bookmarkStart w:id="386" w:name="_Toc110603222"/>
            <w:r>
              <w:rPr>
                <w:rFonts w:ascii="Times New Roman" w:eastAsia="宋体"/>
                <w:sz w:val="18"/>
                <w:szCs w:val="18"/>
              </w:rPr>
              <w:t>符合</w:t>
            </w:r>
            <w:bookmarkEnd w:id="385"/>
            <w:bookmarkEnd w:id="386"/>
          </w:p>
        </w:tc>
        <w:tc>
          <w:tcPr>
            <w:tcW w:w="1840" w:type="pct"/>
            <w:gridSpan w:val="3"/>
            <w:shd w:val="clear" w:color="auto" w:fill="auto"/>
            <w:vAlign w:val="center"/>
          </w:tcPr>
          <w:p>
            <w:pPr>
              <w:spacing w:line="240" w:lineRule="auto"/>
              <w:jc w:val="center"/>
              <w:rPr>
                <w:rFonts w:ascii="Times New Roman" w:eastAsia="宋体"/>
                <w:sz w:val="18"/>
                <w:szCs w:val="18"/>
              </w:rPr>
            </w:pPr>
            <w:bookmarkStart w:id="387" w:name="_Toc110601178"/>
            <w:bookmarkStart w:id="388" w:name="_Toc110603223"/>
            <w:r>
              <w:rPr>
                <w:rFonts w:ascii="Times New Roman" w:eastAsia="宋体"/>
                <w:sz w:val="18"/>
                <w:szCs w:val="18"/>
              </w:rPr>
              <w:t>不符合</w:t>
            </w:r>
            <w:bookmarkEnd w:id="387"/>
            <w:bookmarkEnd w:id="3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爆腰率增值</w:t>
            </w:r>
          </w:p>
        </w:tc>
        <w:tc>
          <w:tcPr>
            <w:tcW w:w="1840" w:type="pct"/>
            <w:gridSpan w:val="3"/>
            <w:shd w:val="clear" w:color="auto" w:fill="auto"/>
            <w:vAlign w:val="center"/>
          </w:tcPr>
          <w:p>
            <w:pPr>
              <w:spacing w:line="240" w:lineRule="auto"/>
              <w:jc w:val="center"/>
              <w:rPr>
                <w:rFonts w:ascii="Times New Roman" w:eastAsia="宋体"/>
                <w:sz w:val="18"/>
                <w:szCs w:val="18"/>
              </w:rPr>
            </w:pPr>
            <w:bookmarkStart w:id="389" w:name="_Toc110601180"/>
            <w:bookmarkStart w:id="390" w:name="_Toc110603225"/>
            <w:r>
              <w:rPr>
                <w:rFonts w:ascii="Times New Roman" w:eastAsia="宋体"/>
                <w:sz w:val="18"/>
                <w:szCs w:val="18"/>
              </w:rPr>
              <w:t>符合</w:t>
            </w:r>
            <w:bookmarkEnd w:id="389"/>
            <w:bookmarkEnd w:id="390"/>
          </w:p>
        </w:tc>
        <w:tc>
          <w:tcPr>
            <w:tcW w:w="1840" w:type="pct"/>
            <w:gridSpan w:val="3"/>
            <w:shd w:val="clear" w:color="auto" w:fill="auto"/>
            <w:vAlign w:val="center"/>
          </w:tcPr>
          <w:p>
            <w:pPr>
              <w:spacing w:line="240" w:lineRule="auto"/>
              <w:jc w:val="center"/>
              <w:rPr>
                <w:rFonts w:ascii="Times New Roman" w:eastAsia="宋体"/>
                <w:sz w:val="18"/>
                <w:szCs w:val="18"/>
              </w:rPr>
            </w:pPr>
            <w:bookmarkStart w:id="391" w:name="_Toc110601181"/>
            <w:bookmarkStart w:id="392" w:name="_Toc110603226"/>
            <w:r>
              <w:rPr>
                <w:rFonts w:ascii="Times New Roman" w:eastAsia="宋体"/>
                <w:sz w:val="18"/>
                <w:szCs w:val="18"/>
              </w:rPr>
              <w:t>不符合</w:t>
            </w:r>
            <w:bookmarkEnd w:id="391"/>
            <w:bookmarkEnd w:id="3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破碎率增值</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色泽、气味</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噪声</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粉尘浓度</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restart"/>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符合</w:t>
            </w:r>
          </w:p>
        </w:tc>
        <w:tc>
          <w:tcPr>
            <w:tcW w:w="1840" w:type="pct"/>
            <w:gridSpan w:val="3"/>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shd w:val="clear" w:color="auto" w:fill="auto"/>
            <w:vAlign w:val="center"/>
          </w:tcPr>
          <w:p>
            <w:pPr>
              <w:spacing w:line="240" w:lineRule="auto"/>
              <w:jc w:val="center"/>
              <w:rPr>
                <w:rFonts w:ascii="Times New Roman" w:eastAsia="宋体"/>
                <w:sz w:val="18"/>
                <w:szCs w:val="18"/>
              </w:rPr>
            </w:pPr>
          </w:p>
        </w:tc>
        <w:tc>
          <w:tcPr>
            <w:tcW w:w="940" w:type="pct"/>
            <w:vMerge w:val="continue"/>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c>
          <w:tcPr>
            <w:tcW w:w="1840" w:type="pct"/>
            <w:gridSpan w:val="3"/>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380" w:type="pct"/>
            <w:shd w:val="clear" w:color="auto" w:fill="auto"/>
            <w:vAlign w:val="center"/>
          </w:tcPr>
          <w:p>
            <w:pPr>
              <w:spacing w:line="240" w:lineRule="auto"/>
              <w:jc w:val="center"/>
              <w:rPr>
                <w:rFonts w:ascii="Times New Roman" w:eastAsia="宋体"/>
                <w:sz w:val="18"/>
                <w:szCs w:val="18"/>
              </w:rPr>
            </w:pPr>
            <w:bookmarkStart w:id="393" w:name="_Toc110601182"/>
            <w:bookmarkStart w:id="394" w:name="_Toc110603227"/>
            <w:r>
              <w:rPr>
                <w:rFonts w:ascii="Times New Roman" w:eastAsia="宋体"/>
                <w:sz w:val="18"/>
                <w:szCs w:val="18"/>
              </w:rPr>
              <w:t>验收</w:t>
            </w:r>
            <w:bookmarkEnd w:id="393"/>
            <w:bookmarkEnd w:id="394"/>
          </w:p>
          <w:p>
            <w:pPr>
              <w:spacing w:line="240" w:lineRule="auto"/>
              <w:jc w:val="center"/>
              <w:rPr>
                <w:rFonts w:ascii="Times New Roman" w:eastAsia="宋体"/>
                <w:sz w:val="18"/>
                <w:szCs w:val="18"/>
              </w:rPr>
            </w:pPr>
            <w:bookmarkStart w:id="395" w:name="_Toc110601183"/>
            <w:bookmarkStart w:id="396" w:name="_Toc110603228"/>
            <w:r>
              <w:rPr>
                <w:rFonts w:ascii="Times New Roman" w:eastAsia="宋体"/>
                <w:sz w:val="18"/>
                <w:szCs w:val="18"/>
              </w:rPr>
              <w:t>意见</w:t>
            </w:r>
            <w:bookmarkEnd w:id="395"/>
            <w:bookmarkEnd w:id="396"/>
          </w:p>
        </w:tc>
        <w:tc>
          <w:tcPr>
            <w:tcW w:w="4620" w:type="pct"/>
            <w:gridSpan w:val="7"/>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bookmarkStart w:id="397" w:name="_Toc110601184"/>
            <w:bookmarkStart w:id="398" w:name="_Toc110603229"/>
            <w:r>
              <w:rPr>
                <w:rFonts w:ascii="Times New Roman" w:eastAsia="宋体"/>
                <w:sz w:val="18"/>
                <w:szCs w:val="18"/>
              </w:rPr>
              <w:t>年    月   日</w:t>
            </w:r>
            <w:bookmarkEnd w:id="397"/>
            <w:bookmarkEnd w:id="398"/>
          </w:p>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shd w:val="clear" w:color="auto" w:fill="auto"/>
            <w:vAlign w:val="center"/>
          </w:tcPr>
          <w:p>
            <w:pPr>
              <w:spacing w:line="240" w:lineRule="auto"/>
              <w:jc w:val="center"/>
              <w:rPr>
                <w:rFonts w:ascii="Times New Roman" w:eastAsia="宋体"/>
                <w:sz w:val="18"/>
                <w:szCs w:val="18"/>
              </w:rPr>
            </w:pPr>
            <w:bookmarkStart w:id="399" w:name="_Toc110603230"/>
            <w:bookmarkStart w:id="400" w:name="_Toc110601185"/>
            <w:r>
              <w:rPr>
                <w:rFonts w:ascii="Times New Roman" w:eastAsia="宋体"/>
                <w:sz w:val="18"/>
                <w:szCs w:val="18"/>
              </w:rPr>
              <w:t>整改</w:t>
            </w:r>
            <w:bookmarkEnd w:id="399"/>
            <w:bookmarkEnd w:id="400"/>
          </w:p>
          <w:p>
            <w:pPr>
              <w:spacing w:line="240" w:lineRule="auto"/>
              <w:jc w:val="center"/>
              <w:rPr>
                <w:rFonts w:ascii="Times New Roman" w:eastAsia="宋体"/>
                <w:sz w:val="18"/>
                <w:szCs w:val="18"/>
              </w:rPr>
            </w:pPr>
            <w:bookmarkStart w:id="401" w:name="_Toc110601186"/>
            <w:bookmarkStart w:id="402" w:name="_Toc110603231"/>
            <w:r>
              <w:rPr>
                <w:rFonts w:ascii="Times New Roman" w:eastAsia="宋体"/>
                <w:sz w:val="18"/>
                <w:szCs w:val="18"/>
              </w:rPr>
              <w:t>意见</w:t>
            </w:r>
            <w:bookmarkEnd w:id="401"/>
            <w:bookmarkEnd w:id="402"/>
          </w:p>
        </w:tc>
        <w:tc>
          <w:tcPr>
            <w:tcW w:w="4620" w:type="pct"/>
            <w:gridSpan w:val="7"/>
            <w:shd w:val="clear" w:color="auto" w:fill="auto"/>
            <w:vAlign w:val="center"/>
          </w:tcPr>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bookmarkStart w:id="403" w:name="_Toc110601187"/>
            <w:bookmarkStart w:id="404" w:name="_Toc110603232"/>
            <w:r>
              <w:rPr>
                <w:rFonts w:ascii="Times New Roman" w:eastAsia="宋体"/>
                <w:sz w:val="18"/>
                <w:szCs w:val="18"/>
              </w:rPr>
              <w:t>年    月   日</w:t>
            </w:r>
            <w:bookmarkEnd w:id="403"/>
            <w:bookmarkEnd w:id="404"/>
          </w:p>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shd w:val="clear" w:color="auto" w:fill="auto"/>
            <w:vAlign w:val="center"/>
          </w:tcPr>
          <w:p>
            <w:pPr>
              <w:spacing w:line="240" w:lineRule="auto"/>
              <w:jc w:val="center"/>
              <w:rPr>
                <w:rFonts w:ascii="Times New Roman" w:eastAsia="宋体"/>
                <w:sz w:val="18"/>
                <w:szCs w:val="18"/>
              </w:rPr>
            </w:pPr>
            <w:bookmarkStart w:id="405" w:name="_Toc110601188"/>
            <w:bookmarkStart w:id="406" w:name="_Toc110603233"/>
            <w:r>
              <w:rPr>
                <w:rFonts w:ascii="Times New Roman" w:eastAsia="宋体"/>
                <w:sz w:val="18"/>
                <w:szCs w:val="18"/>
              </w:rPr>
              <w:t>验收</w:t>
            </w:r>
            <w:bookmarkEnd w:id="405"/>
            <w:bookmarkEnd w:id="406"/>
          </w:p>
          <w:p>
            <w:pPr>
              <w:spacing w:line="240" w:lineRule="auto"/>
              <w:jc w:val="center"/>
              <w:rPr>
                <w:rFonts w:ascii="Times New Roman" w:eastAsia="宋体"/>
                <w:sz w:val="18"/>
                <w:szCs w:val="18"/>
              </w:rPr>
            </w:pPr>
            <w:bookmarkStart w:id="407" w:name="_Toc110601189"/>
            <w:bookmarkStart w:id="408" w:name="_Toc110603234"/>
            <w:r>
              <w:rPr>
                <w:rFonts w:ascii="Times New Roman" w:eastAsia="宋体"/>
                <w:sz w:val="18"/>
                <w:szCs w:val="18"/>
              </w:rPr>
              <w:t>人员</w:t>
            </w:r>
            <w:bookmarkEnd w:id="407"/>
            <w:bookmarkEnd w:id="408"/>
          </w:p>
        </w:tc>
        <w:tc>
          <w:tcPr>
            <w:tcW w:w="4620" w:type="pct"/>
            <w:gridSpan w:val="7"/>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bookmarkStart w:id="409" w:name="_Toc110601190"/>
            <w:bookmarkStart w:id="410" w:name="_Toc110603235"/>
            <w:r>
              <w:rPr>
                <w:rFonts w:ascii="Times New Roman" w:eastAsia="宋体"/>
                <w:sz w:val="18"/>
                <w:szCs w:val="18"/>
              </w:rPr>
              <w:t>年    月   日</w:t>
            </w:r>
            <w:bookmarkEnd w:id="409"/>
            <w:bookmarkEnd w:id="410"/>
          </w:p>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shd w:val="clear" w:color="auto" w:fill="auto"/>
            <w:vAlign w:val="center"/>
          </w:tcPr>
          <w:p>
            <w:pPr>
              <w:spacing w:line="240" w:lineRule="auto"/>
              <w:jc w:val="center"/>
              <w:rPr>
                <w:rFonts w:ascii="Times New Roman" w:eastAsia="宋体"/>
                <w:sz w:val="18"/>
                <w:szCs w:val="18"/>
              </w:rPr>
            </w:pPr>
            <w:bookmarkStart w:id="411" w:name="_Toc110601191"/>
            <w:bookmarkStart w:id="412" w:name="_Toc110603236"/>
            <w:r>
              <w:rPr>
                <w:rFonts w:ascii="Times New Roman" w:eastAsia="宋体"/>
                <w:sz w:val="18"/>
                <w:szCs w:val="18"/>
              </w:rPr>
              <w:t>验收</w:t>
            </w:r>
            <w:bookmarkEnd w:id="411"/>
            <w:bookmarkEnd w:id="412"/>
          </w:p>
          <w:p>
            <w:pPr>
              <w:spacing w:line="240" w:lineRule="auto"/>
              <w:jc w:val="center"/>
              <w:rPr>
                <w:rFonts w:ascii="Times New Roman" w:eastAsia="宋体"/>
                <w:sz w:val="18"/>
                <w:szCs w:val="18"/>
              </w:rPr>
            </w:pPr>
            <w:bookmarkStart w:id="413" w:name="_Toc110601192"/>
            <w:bookmarkStart w:id="414" w:name="_Toc110603237"/>
            <w:r>
              <w:rPr>
                <w:rFonts w:ascii="Times New Roman" w:eastAsia="宋体"/>
                <w:sz w:val="18"/>
                <w:szCs w:val="18"/>
              </w:rPr>
              <w:t>负责人</w:t>
            </w:r>
            <w:bookmarkEnd w:id="413"/>
            <w:bookmarkEnd w:id="414"/>
          </w:p>
        </w:tc>
        <w:tc>
          <w:tcPr>
            <w:tcW w:w="4620" w:type="pct"/>
            <w:gridSpan w:val="7"/>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bookmarkStart w:id="415" w:name="_Toc110601193"/>
            <w:bookmarkStart w:id="416" w:name="_Toc110603238"/>
            <w:r>
              <w:rPr>
                <w:rFonts w:ascii="Times New Roman" w:eastAsia="宋体"/>
                <w:sz w:val="18"/>
                <w:szCs w:val="18"/>
              </w:rPr>
              <w:t>年    月   日</w:t>
            </w:r>
            <w:bookmarkEnd w:id="415"/>
            <w:bookmarkEnd w:id="416"/>
          </w:p>
          <w:p>
            <w:pPr>
              <w:spacing w:line="240" w:lineRule="auto"/>
              <w:jc w:val="center"/>
              <w:rPr>
                <w:rFonts w:ascii="Times New Roman" w:eastAsia="宋体"/>
                <w:sz w:val="18"/>
                <w:szCs w:val="18"/>
              </w:rPr>
            </w:pPr>
          </w:p>
        </w:tc>
      </w:tr>
    </w:tbl>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rPr>
          <w:rFonts w:ascii="Times New Roman" w:hAnsi="Times New Roman"/>
          <w:kern w:val="2"/>
          <w:szCs w:val="22"/>
        </w:rPr>
      </w:pPr>
    </w:p>
    <w:p>
      <w:pPr>
        <w:pStyle w:val="27"/>
        <w:ind w:firstLine="0" w:firstLineChars="0"/>
        <w:jc w:val="center"/>
        <w:rPr>
          <w:rFonts w:ascii="Times New Roman" w:hAnsi="Times New Roman"/>
          <w:b/>
          <w:kern w:val="2"/>
          <w:sz w:val="44"/>
          <w:szCs w:val="44"/>
        </w:rPr>
        <w:sectPr>
          <w:pgSz w:w="11906" w:h="16838"/>
          <w:pgMar w:top="1440" w:right="1800" w:bottom="1440" w:left="1800" w:header="851" w:footer="992" w:gutter="0"/>
          <w:pgNumType w:start="1"/>
          <w:cols w:space="425" w:num="1"/>
          <w:docGrid w:type="lines" w:linePitch="312" w:charSpace="0"/>
        </w:sectPr>
      </w:pPr>
      <w:r>
        <w:rPr>
          <w:rFonts w:ascii="Times New Roman" w:hAnsi="Times New Roman"/>
          <w:b/>
          <w:kern w:val="2"/>
          <w:sz w:val="44"/>
          <w:szCs w:val="44"/>
        </w:rPr>
        <w:t>附   图</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  Ⅰ</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5090160"/>
            <wp:effectExtent l="0" t="0" r="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9" cstate="print">
                      <a:extLst>
                        <a:ext uri="{28A0092B-C50C-407E-A947-70E740481C1C}">
                          <a14:useLocalDpi xmlns:a14="http://schemas.microsoft.com/office/drawing/2010/main" val="false"/>
                        </a:ext>
                      </a:extLst>
                    </a:blip>
                    <a:srcRect t="4023" b="7023"/>
                    <a:stretch>
                      <a:fillRect/>
                    </a:stretch>
                  </pic:blipFill>
                  <pic:spPr>
                    <a:xfrm>
                      <a:off x="0" y="0"/>
                      <a:ext cx="8100000" cy="5090400"/>
                    </a:xfrm>
                    <a:prstGeom prst="rect">
                      <a:avLst/>
                    </a:prstGeom>
                    <a:ln>
                      <a:noFill/>
                    </a:ln>
                  </pic:spPr>
                </pic:pic>
              </a:graphicData>
            </a:graphic>
          </wp:inline>
        </w:drawing>
      </w:r>
    </w:p>
    <w:p>
      <w:pPr>
        <w:pStyle w:val="27"/>
        <w:spacing w:line="200" w:lineRule="exact"/>
        <w:ind w:firstLine="0" w:firstLineChars="0"/>
        <w:jc w:val="center"/>
        <w:rPr>
          <w:rFonts w:asciiTheme="minorEastAsia" w:hAnsiTheme="minorEastAsia" w:eastAsiaTheme="minorEastAsia"/>
          <w:kern w:val="2"/>
          <w:sz w:val="10"/>
          <w:szCs w:val="10"/>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卸粮斗</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w:t>
      </w:r>
      <w:r>
        <w:rPr>
          <w:rFonts w:hint="eastAsia" w:asciiTheme="minorEastAsia" w:hAnsiTheme="minorEastAsia" w:eastAsiaTheme="minorEastAsia"/>
          <w:kern w:val="2"/>
          <w:sz w:val="24"/>
          <w:szCs w:val="24"/>
        </w:rPr>
        <w:t>烘前仓</w:t>
      </w:r>
      <w:r>
        <w:rPr>
          <w:rFonts w:asciiTheme="minorEastAsia" w:hAnsiTheme="minorEastAsia" w:eastAsiaTheme="minorEastAsia"/>
          <w:kern w:val="2"/>
          <w:sz w:val="24"/>
          <w:szCs w:val="24"/>
        </w:rPr>
        <w:t xml:space="preserve">  6. 3#</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8. </w:t>
      </w:r>
      <w:r>
        <w:rPr>
          <w:rFonts w:hint="eastAsia" w:asciiTheme="minorEastAsia" w:hAnsiTheme="minorEastAsia" w:eastAsiaTheme="minorEastAsia"/>
          <w:kern w:val="2"/>
          <w:sz w:val="24"/>
          <w:szCs w:val="24"/>
        </w:rPr>
        <w:t>循环式烘干机</w:t>
      </w:r>
      <w:r>
        <w:rPr>
          <w:rFonts w:asciiTheme="minorEastAsia" w:hAnsiTheme="minorEastAsia" w:eastAsiaTheme="minorEastAsia"/>
          <w:kern w:val="2"/>
          <w:sz w:val="24"/>
          <w:szCs w:val="24"/>
        </w:rPr>
        <w:t xml:space="preserve">  9. </w:t>
      </w:r>
      <w:r>
        <w:rPr>
          <w:rFonts w:hint="eastAsia" w:asciiTheme="minorEastAsia" w:hAnsiTheme="minorEastAsia" w:eastAsiaTheme="minorEastAsia"/>
          <w:kern w:val="2"/>
          <w:sz w:val="24"/>
          <w:szCs w:val="24"/>
        </w:rPr>
        <w:t>生物质热风炉</w:t>
      </w:r>
      <w:r>
        <w:rPr>
          <w:rFonts w:asciiTheme="minorEastAsia" w:hAnsiTheme="minorEastAsia" w:eastAsiaTheme="minorEastAsia"/>
          <w:kern w:val="2"/>
          <w:sz w:val="24"/>
          <w:szCs w:val="24"/>
        </w:rPr>
        <w:t xml:space="preserve">  10.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12.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13. </w:t>
      </w:r>
      <w:r>
        <w:rPr>
          <w:rFonts w:hint="eastAsia" w:asciiTheme="minorEastAsia" w:hAnsiTheme="minorEastAsia" w:eastAsiaTheme="minorEastAsia"/>
          <w:kern w:val="2"/>
          <w:sz w:val="24"/>
          <w:szCs w:val="24"/>
        </w:rPr>
        <w:t>除尘设备及管网</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  Ⅰ</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038600"/>
            <wp:effectExtent l="0" t="0" r="0" b="0"/>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10" cstate="print">
                      <a:extLst>
                        <a:ext uri="{28A0092B-C50C-407E-A947-70E740481C1C}">
                          <a14:useLocalDpi xmlns:a14="http://schemas.microsoft.com/office/drawing/2010/main" val="false"/>
                        </a:ext>
                      </a:extLst>
                    </a:blip>
                    <a:srcRect t="14028" b="15398"/>
                    <a:stretch>
                      <a:fillRect/>
                    </a:stretch>
                  </pic:blipFill>
                  <pic:spPr>
                    <a:xfrm>
                      <a:off x="0" y="0"/>
                      <a:ext cx="8100000" cy="40392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14.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3  Ⅰ</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010025"/>
            <wp:effectExtent l="0" t="0" r="0" b="9525"/>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11" cstate="print">
                      <a:extLst>
                        <a:ext uri="{28A0092B-C50C-407E-A947-70E740481C1C}">
                          <a14:useLocalDpi xmlns:a14="http://schemas.microsoft.com/office/drawing/2010/main" val="false"/>
                        </a:ext>
                      </a:extLst>
                    </a:blip>
                    <a:srcRect t="12179" b="17787"/>
                    <a:stretch>
                      <a:fillRect/>
                    </a:stretch>
                  </pic:blipFill>
                  <pic:spPr>
                    <a:xfrm>
                      <a:off x="0" y="0"/>
                      <a:ext cx="8100000" cy="4010400"/>
                    </a:xfrm>
                    <a:prstGeom prst="rect">
                      <a:avLst/>
                    </a:prstGeom>
                    <a:ln>
                      <a:noFill/>
                    </a:ln>
                  </pic:spPr>
                </pic:pic>
              </a:graphicData>
            </a:graphic>
          </wp:inline>
        </w:drawing>
      </w:r>
    </w:p>
    <w:p>
      <w:pPr>
        <w:pStyle w:val="27"/>
        <w:ind w:firstLine="0" w:firstLineChars="0"/>
        <w:jc w:val="left"/>
        <w:rPr>
          <w:rFonts w:ascii="Times New Roman" w:hAnsi="Times New Roman" w:eastAsia="黑体"/>
          <w:kern w:val="2"/>
          <w:sz w:val="32"/>
          <w:szCs w:val="32"/>
        </w:rPr>
      </w:pPr>
    </w:p>
    <w:p>
      <w:pPr>
        <w:pStyle w:val="27"/>
        <w:ind w:firstLine="0" w:firstLineChars="0"/>
        <w:jc w:val="left"/>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4  Ⅱ</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jc w:val="center"/>
        <w:rPr>
          <w:rFonts w:ascii="Times New Roman" w:hAnsi="Times New Roman" w:eastAsia="黑体"/>
          <w:kern w:val="2"/>
          <w:sz w:val="24"/>
          <w:szCs w:val="24"/>
        </w:rPr>
      </w:pPr>
      <w:r>
        <w:rPr>
          <w:rFonts w:ascii="Times New Roman" w:hAnsi="Times New Roman" w:eastAsia="黑体"/>
          <w:kern w:val="2"/>
          <w:sz w:val="24"/>
          <w:szCs w:val="24"/>
        </w:rPr>
        <w:drawing>
          <wp:inline distT="0" distB="0" distL="0" distR="0">
            <wp:extent cx="7872730" cy="5111750"/>
            <wp:effectExtent l="0" t="0" r="0" b="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12" cstate="print">
                      <a:extLst>
                        <a:ext uri="{28A0092B-C50C-407E-A947-70E740481C1C}">
                          <a14:useLocalDpi xmlns:a14="http://schemas.microsoft.com/office/drawing/2010/main" val="false"/>
                        </a:ext>
                      </a:extLst>
                    </a:blip>
                    <a:srcRect t="1957" b="6260"/>
                    <a:stretch>
                      <a:fillRect/>
                    </a:stretch>
                  </pic:blipFill>
                  <pic:spPr>
                    <a:xfrm>
                      <a:off x="0" y="0"/>
                      <a:ext cx="7873200" cy="5112000"/>
                    </a:xfrm>
                    <a:prstGeom prst="rect">
                      <a:avLst/>
                    </a:prstGeom>
                    <a:ln>
                      <a:noFill/>
                    </a:ln>
                  </pic:spPr>
                </pic:pic>
              </a:graphicData>
            </a:graphic>
          </wp:inline>
        </w:drawing>
      </w:r>
    </w:p>
    <w:p>
      <w:pPr>
        <w:pStyle w:val="27"/>
        <w:spacing w:line="200" w:lineRule="exact"/>
        <w:ind w:firstLine="0" w:firstLineChars="0"/>
        <w:jc w:val="center"/>
        <w:rPr>
          <w:rFonts w:asciiTheme="minorEastAsia" w:hAnsiTheme="minorEastAsia" w:eastAsiaTheme="minorEastAsia"/>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卸粮斗</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w:t>
      </w:r>
      <w:r>
        <w:rPr>
          <w:rFonts w:hint="eastAsia" w:asciiTheme="minorEastAsia" w:hAnsiTheme="minorEastAsia" w:eastAsiaTheme="minorEastAsia"/>
          <w:kern w:val="2"/>
          <w:sz w:val="24"/>
          <w:szCs w:val="24"/>
        </w:rPr>
        <w:t>烘前仓</w:t>
      </w:r>
      <w:r>
        <w:rPr>
          <w:rFonts w:asciiTheme="minorEastAsia" w:hAnsiTheme="minorEastAsia" w:eastAsiaTheme="minorEastAsia"/>
          <w:kern w:val="2"/>
          <w:sz w:val="24"/>
          <w:szCs w:val="24"/>
        </w:rPr>
        <w:t xml:space="preserve">  6. 3#</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8. </w:t>
      </w:r>
      <w:r>
        <w:rPr>
          <w:rFonts w:hint="eastAsia" w:asciiTheme="minorEastAsia" w:hAnsiTheme="minorEastAsia" w:eastAsiaTheme="minorEastAsia"/>
          <w:kern w:val="2"/>
          <w:sz w:val="24"/>
          <w:szCs w:val="24"/>
        </w:rPr>
        <w:t xml:space="preserve">循环式烘干机 </w:t>
      </w:r>
      <w:r>
        <w:rPr>
          <w:rFonts w:asciiTheme="minorEastAsia" w:hAnsiTheme="minorEastAsia" w:eastAsiaTheme="minorEastAsia"/>
          <w:kern w:val="2"/>
          <w:sz w:val="24"/>
          <w:szCs w:val="24"/>
        </w:rPr>
        <w:t xml:space="preserve"> 9. </w:t>
      </w:r>
      <w:r>
        <w:rPr>
          <w:rFonts w:hint="eastAsia" w:asciiTheme="minorEastAsia" w:hAnsiTheme="minorEastAsia" w:eastAsiaTheme="minorEastAsia"/>
          <w:kern w:val="2"/>
          <w:sz w:val="24"/>
          <w:szCs w:val="24"/>
        </w:rPr>
        <w:t>生物质热风炉</w:t>
      </w:r>
      <w:r>
        <w:rPr>
          <w:rFonts w:asciiTheme="minorEastAsia" w:hAnsiTheme="minorEastAsia" w:eastAsiaTheme="minorEastAsia"/>
          <w:kern w:val="2"/>
          <w:sz w:val="24"/>
          <w:szCs w:val="24"/>
        </w:rPr>
        <w:t xml:space="preserve">  10.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12.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13. </w:t>
      </w:r>
      <w:r>
        <w:rPr>
          <w:rFonts w:hint="eastAsia" w:asciiTheme="minorEastAsia" w:hAnsiTheme="minorEastAsia" w:eastAsiaTheme="minorEastAsia"/>
          <w:kern w:val="2"/>
          <w:sz w:val="24"/>
          <w:szCs w:val="24"/>
        </w:rPr>
        <w:t>除尘设备及管网</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5  Ⅱ</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225925"/>
            <wp:effectExtent l="0" t="0" r="0" b="3175"/>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13" cstate="print">
                      <a:extLst>
                        <a:ext uri="{28A0092B-C50C-407E-A947-70E740481C1C}">
                          <a14:useLocalDpi xmlns:a14="http://schemas.microsoft.com/office/drawing/2010/main" val="false"/>
                        </a:ext>
                      </a:extLst>
                    </a:blip>
                    <a:srcRect t="14462" b="11701"/>
                    <a:stretch>
                      <a:fillRect/>
                    </a:stretch>
                  </pic:blipFill>
                  <pic:spPr>
                    <a:xfrm>
                      <a:off x="0" y="0"/>
                      <a:ext cx="8100000" cy="4226400"/>
                    </a:xfrm>
                    <a:prstGeom prst="rect">
                      <a:avLst/>
                    </a:prstGeom>
                    <a:ln>
                      <a:noFill/>
                    </a:ln>
                  </pic:spPr>
                </pic:pic>
              </a:graphicData>
            </a:graphic>
          </wp:inline>
        </w:drawing>
      </w: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14.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6  Ⅱ</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16680"/>
            <wp:effectExtent l="0" t="0" r="0" b="762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14" cstate="print">
                      <a:extLst>
                        <a:ext uri="{28A0092B-C50C-407E-A947-70E740481C1C}">
                          <a14:useLocalDpi xmlns:a14="http://schemas.microsoft.com/office/drawing/2010/main" val="false"/>
                        </a:ext>
                      </a:extLst>
                    </a:blip>
                    <a:srcRect t="10983" b="20614"/>
                    <a:stretch>
                      <a:fillRect/>
                    </a:stretch>
                  </pic:blipFill>
                  <pic:spPr>
                    <a:xfrm>
                      <a:off x="0" y="0"/>
                      <a:ext cx="8100000" cy="39168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7  Ⅲ</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rPr>
          <w:rFonts w:ascii="Times New Roman" w:hAnsi="Times New Roman" w:eastAsia="黑体"/>
          <w:kern w:val="2"/>
          <w:sz w:val="10"/>
          <w:szCs w:val="10"/>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653020" cy="4859655"/>
            <wp:effectExtent l="0" t="0" r="5080"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15" cstate="print">
                      <a:extLst>
                        <a:ext uri="{28A0092B-C50C-407E-A947-70E740481C1C}">
                          <a14:useLocalDpi xmlns:a14="http://schemas.microsoft.com/office/drawing/2010/main" val="false"/>
                        </a:ext>
                      </a:extLst>
                    </a:blip>
                    <a:srcRect t="3133" b="7035"/>
                    <a:stretch>
                      <a:fillRect/>
                    </a:stretch>
                  </pic:blipFill>
                  <pic:spPr>
                    <a:xfrm>
                      <a:off x="0" y="0"/>
                      <a:ext cx="7653600" cy="4860000"/>
                    </a:xfrm>
                    <a:prstGeom prst="rect">
                      <a:avLst/>
                    </a:prstGeom>
                    <a:ln>
                      <a:noFill/>
                    </a:ln>
                  </pic:spPr>
                </pic:pic>
              </a:graphicData>
            </a:graphic>
          </wp:inline>
        </w:drawing>
      </w:r>
    </w:p>
    <w:p>
      <w:pPr>
        <w:pStyle w:val="27"/>
        <w:spacing w:line="200" w:lineRule="exact"/>
        <w:ind w:firstLine="0" w:firstLineChars="0"/>
        <w:jc w:val="center"/>
        <w:rPr>
          <w:rFonts w:asciiTheme="minorEastAsia" w:hAnsiTheme="minorEastAsia" w:eastAsiaTheme="minorEastAsia"/>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 xml:space="preserve">卸粮斗 </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w:t>
      </w:r>
      <w:r>
        <w:rPr>
          <w:rFonts w:hint="eastAsia" w:asciiTheme="minorEastAsia" w:hAnsiTheme="minorEastAsia" w:eastAsiaTheme="minorEastAsia"/>
          <w:kern w:val="2"/>
          <w:sz w:val="24"/>
          <w:szCs w:val="24"/>
        </w:rPr>
        <w:t>烘前仓</w:t>
      </w:r>
      <w:r>
        <w:rPr>
          <w:rFonts w:asciiTheme="minorEastAsia" w:hAnsiTheme="minorEastAsia" w:eastAsiaTheme="minorEastAsia"/>
          <w:kern w:val="2"/>
          <w:sz w:val="24"/>
          <w:szCs w:val="24"/>
        </w:rPr>
        <w:t xml:space="preserve">  6. 3#</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8. </w:t>
      </w:r>
      <w:r>
        <w:rPr>
          <w:rFonts w:hint="eastAsia" w:asciiTheme="minorEastAsia" w:hAnsiTheme="minorEastAsia" w:eastAsiaTheme="minorEastAsia"/>
          <w:kern w:val="2"/>
          <w:sz w:val="24"/>
          <w:szCs w:val="24"/>
        </w:rPr>
        <w:t>循环式烘干机</w:t>
      </w:r>
      <w:r>
        <w:rPr>
          <w:rFonts w:asciiTheme="minorEastAsia" w:hAnsiTheme="minorEastAsia" w:eastAsiaTheme="minorEastAsia"/>
          <w:kern w:val="2"/>
          <w:sz w:val="24"/>
          <w:szCs w:val="24"/>
        </w:rPr>
        <w:t xml:space="preserve">  9. </w:t>
      </w:r>
      <w:r>
        <w:rPr>
          <w:rFonts w:hint="eastAsia" w:asciiTheme="minorEastAsia" w:hAnsiTheme="minorEastAsia" w:eastAsiaTheme="minorEastAsia"/>
          <w:kern w:val="2"/>
          <w:sz w:val="24"/>
          <w:szCs w:val="24"/>
        </w:rPr>
        <w:t>生物质热风炉</w:t>
      </w:r>
      <w:r>
        <w:rPr>
          <w:rFonts w:asciiTheme="minorEastAsia" w:hAnsiTheme="minorEastAsia" w:eastAsiaTheme="minorEastAsia"/>
          <w:kern w:val="2"/>
          <w:sz w:val="24"/>
          <w:szCs w:val="24"/>
        </w:rPr>
        <w:t xml:space="preserve">  10.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12. </w:t>
      </w:r>
      <w:r>
        <w:rPr>
          <w:rFonts w:hint="eastAsia" w:asciiTheme="minorEastAsia" w:hAnsiTheme="minorEastAsia" w:eastAsiaTheme="minorEastAsia"/>
          <w:kern w:val="2"/>
          <w:sz w:val="24"/>
          <w:szCs w:val="24"/>
        </w:rPr>
        <w:t xml:space="preserve">烘后仓 </w:t>
      </w:r>
      <w:r>
        <w:rPr>
          <w:rFonts w:asciiTheme="minorEastAsia" w:hAnsiTheme="minorEastAsia" w:eastAsiaTheme="minorEastAsia"/>
          <w:kern w:val="2"/>
          <w:sz w:val="24"/>
          <w:szCs w:val="24"/>
        </w:rPr>
        <w:t xml:space="preserve"> 13. </w:t>
      </w:r>
      <w:r>
        <w:rPr>
          <w:rFonts w:hint="eastAsia" w:asciiTheme="minorEastAsia" w:hAnsiTheme="minorEastAsia" w:eastAsiaTheme="minorEastAsia"/>
          <w:kern w:val="2"/>
          <w:sz w:val="24"/>
          <w:szCs w:val="24"/>
        </w:rPr>
        <w:t>除尘设备及管网</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8  Ⅲ</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95420"/>
            <wp:effectExtent l="0" t="0" r="0" b="508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16" cstate="print">
                      <a:extLst>
                        <a:ext uri="{28A0092B-C50C-407E-A947-70E740481C1C}">
                          <a14:useLocalDpi xmlns:a14="http://schemas.microsoft.com/office/drawing/2010/main" val="false"/>
                        </a:ext>
                      </a:extLst>
                    </a:blip>
                    <a:srcRect t="9027" b="21160"/>
                    <a:stretch>
                      <a:fillRect/>
                    </a:stretch>
                  </pic:blipFill>
                  <pic:spPr>
                    <a:xfrm>
                      <a:off x="0" y="0"/>
                      <a:ext cx="8100000" cy="39960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14.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imes New Roman" w:hAnsi="Times New Roman" w:eastAsia="黑体"/>
          <w:kern w:val="2"/>
          <w:sz w:val="24"/>
          <w:szCs w:val="24"/>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9  Ⅲ</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696970"/>
            <wp:effectExtent l="0" t="0" r="0" b="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17" cstate="print">
                      <a:extLst>
                        <a:ext uri="{28A0092B-C50C-407E-A947-70E740481C1C}">
                          <a14:useLocalDpi xmlns:a14="http://schemas.microsoft.com/office/drawing/2010/main" val="false"/>
                        </a:ext>
                      </a:extLst>
                    </a:blip>
                    <a:srcRect t="13920" b="21484"/>
                    <a:stretch>
                      <a:fillRect/>
                    </a:stretch>
                  </pic:blipFill>
                  <pic:spPr>
                    <a:xfrm>
                      <a:off x="0" y="0"/>
                      <a:ext cx="8100000" cy="36972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10  Ⅳ</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955915" cy="5147945"/>
            <wp:effectExtent l="0" t="0" r="6985" b="0"/>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18" cstate="print">
                      <a:extLst>
                        <a:ext uri="{28A0092B-C50C-407E-A947-70E740481C1C}">
                          <a14:useLocalDpi xmlns:a14="http://schemas.microsoft.com/office/drawing/2010/main" val="false"/>
                        </a:ext>
                      </a:extLst>
                    </a:blip>
                    <a:srcRect t="3588" b="4848"/>
                    <a:stretch>
                      <a:fillRect/>
                    </a:stretch>
                  </pic:blipFill>
                  <pic:spPr>
                    <a:xfrm>
                      <a:off x="0" y="0"/>
                      <a:ext cx="7956000" cy="5148000"/>
                    </a:xfrm>
                    <a:prstGeom prst="rect">
                      <a:avLst/>
                    </a:prstGeom>
                    <a:ln>
                      <a:noFill/>
                    </a:ln>
                  </pic:spPr>
                </pic:pic>
              </a:graphicData>
            </a:graphic>
          </wp:inline>
        </w:drawing>
      </w:r>
    </w:p>
    <w:p>
      <w:pPr>
        <w:pStyle w:val="27"/>
        <w:spacing w:line="200" w:lineRule="exact"/>
        <w:ind w:firstLine="0" w:firstLineChars="0"/>
        <w:jc w:val="center"/>
        <w:rPr>
          <w:rFonts w:asciiTheme="minorEastAsia" w:hAnsiTheme="minorEastAsia" w:eastAsiaTheme="minorEastAsia"/>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卸粮斗</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w:t>
      </w:r>
      <w:r>
        <w:rPr>
          <w:rFonts w:hint="eastAsia" w:asciiTheme="minorEastAsia" w:hAnsiTheme="minorEastAsia" w:eastAsiaTheme="minorEastAsia"/>
          <w:kern w:val="2"/>
          <w:sz w:val="24"/>
          <w:szCs w:val="24"/>
        </w:rPr>
        <w:t xml:space="preserve">烘前仓 </w:t>
      </w:r>
      <w:r>
        <w:rPr>
          <w:rFonts w:asciiTheme="minorEastAsia" w:hAnsiTheme="minorEastAsia" w:eastAsiaTheme="minorEastAsia"/>
          <w:kern w:val="2"/>
          <w:sz w:val="24"/>
          <w:szCs w:val="24"/>
        </w:rPr>
        <w:t xml:space="preserve"> 6. 3#</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8. </w:t>
      </w:r>
      <w:r>
        <w:rPr>
          <w:rFonts w:hint="eastAsia" w:asciiTheme="minorEastAsia" w:hAnsiTheme="minorEastAsia" w:eastAsiaTheme="minorEastAsia"/>
          <w:kern w:val="2"/>
          <w:sz w:val="24"/>
          <w:szCs w:val="24"/>
        </w:rPr>
        <w:t xml:space="preserve">循环式烘干机 </w:t>
      </w:r>
      <w:r>
        <w:rPr>
          <w:rFonts w:asciiTheme="minorEastAsia" w:hAnsiTheme="minorEastAsia" w:eastAsiaTheme="minorEastAsia"/>
          <w:kern w:val="2"/>
          <w:sz w:val="24"/>
          <w:szCs w:val="24"/>
        </w:rPr>
        <w:t xml:space="preserve"> 9. </w:t>
      </w:r>
      <w:r>
        <w:rPr>
          <w:rFonts w:hint="eastAsia" w:asciiTheme="minorEastAsia" w:hAnsiTheme="minorEastAsia" w:eastAsiaTheme="minorEastAsia"/>
          <w:kern w:val="2"/>
          <w:sz w:val="24"/>
          <w:szCs w:val="24"/>
        </w:rPr>
        <w:t>生物质热风炉</w:t>
      </w:r>
      <w:r>
        <w:rPr>
          <w:rFonts w:asciiTheme="minorEastAsia" w:hAnsiTheme="minorEastAsia" w:eastAsiaTheme="minorEastAsia"/>
          <w:kern w:val="2"/>
          <w:sz w:val="24"/>
          <w:szCs w:val="24"/>
        </w:rPr>
        <w:t xml:space="preserve">  10.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12.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13. </w:t>
      </w:r>
      <w:r>
        <w:rPr>
          <w:rFonts w:hint="eastAsia" w:asciiTheme="minorEastAsia" w:hAnsiTheme="minorEastAsia" w:eastAsiaTheme="minorEastAsia"/>
          <w:kern w:val="2"/>
          <w:sz w:val="24"/>
          <w:szCs w:val="24"/>
        </w:rPr>
        <w:t>除尘设备及管网</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11  Ⅳ</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858895"/>
            <wp:effectExtent l="0" t="0" r="0" b="8255"/>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19" cstate="print">
                      <a:extLst>
                        <a:ext uri="{28A0092B-C50C-407E-A947-70E740481C1C}">
                          <a14:useLocalDpi xmlns:a14="http://schemas.microsoft.com/office/drawing/2010/main" val="false"/>
                        </a:ext>
                      </a:extLst>
                    </a:blip>
                    <a:srcRect t="14571" b="18007"/>
                    <a:stretch>
                      <a:fillRect/>
                    </a:stretch>
                  </pic:blipFill>
                  <pic:spPr>
                    <a:xfrm>
                      <a:off x="0" y="0"/>
                      <a:ext cx="8100000" cy="38592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14.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12  Ⅳ</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233545"/>
            <wp:effectExtent l="0" t="0" r="0" b="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20" cstate="print">
                      <a:extLst>
                        <a:ext uri="{28A0092B-C50C-407E-A947-70E740481C1C}">
                          <a14:useLocalDpi xmlns:a14="http://schemas.microsoft.com/office/drawing/2010/main" val="false"/>
                        </a:ext>
                      </a:extLst>
                    </a:blip>
                    <a:srcRect t="6742" b="19308"/>
                    <a:stretch>
                      <a:fillRect/>
                    </a:stretch>
                  </pic:blipFill>
                  <pic:spPr>
                    <a:xfrm>
                      <a:off x="0" y="0"/>
                      <a:ext cx="8100000" cy="42336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13  Ⅴ</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337685"/>
            <wp:effectExtent l="0" t="0" r="0" b="5715"/>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21" cstate="print">
                      <a:extLst>
                        <a:ext uri="{28A0092B-C50C-407E-A947-70E740481C1C}">
                          <a14:useLocalDpi xmlns:a14="http://schemas.microsoft.com/office/drawing/2010/main" val="false"/>
                        </a:ext>
                      </a:extLst>
                    </a:blip>
                    <a:srcRect t="6089" b="18115"/>
                    <a:stretch>
                      <a:fillRect/>
                    </a:stretch>
                  </pic:blipFill>
                  <pic:spPr>
                    <a:xfrm>
                      <a:off x="0" y="0"/>
                      <a:ext cx="8100000" cy="43380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 xml:space="preserve">卸粮斗 </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6. </w:t>
      </w:r>
      <w:r>
        <w:rPr>
          <w:rFonts w:hint="eastAsia" w:asciiTheme="minorEastAsia" w:hAnsiTheme="minorEastAsia" w:eastAsiaTheme="minorEastAsia"/>
          <w:kern w:val="2"/>
          <w:sz w:val="24"/>
          <w:szCs w:val="24"/>
        </w:rPr>
        <w:t xml:space="preserve">烘前仓 </w:t>
      </w:r>
      <w:r>
        <w:rPr>
          <w:rFonts w:asciiTheme="minorEastAsia" w:hAnsiTheme="minorEastAsia" w:eastAsiaTheme="minorEastAsia"/>
          <w:kern w:val="2"/>
          <w:sz w:val="24"/>
          <w:szCs w:val="24"/>
        </w:rPr>
        <w:t xml:space="preserve"> 7. 3#</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8.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32"/>
          <w:szCs w:val="32"/>
        </w:rPr>
      </w:pPr>
      <w:r>
        <w:rPr>
          <w:rFonts w:asciiTheme="minorEastAsia" w:hAnsiTheme="minorEastAsia" w:eastAsiaTheme="minorEastAsia"/>
          <w:kern w:val="2"/>
          <w:sz w:val="24"/>
          <w:szCs w:val="24"/>
        </w:rPr>
        <w:t xml:space="preserve">9. </w:t>
      </w:r>
      <w:r>
        <w:rPr>
          <w:rFonts w:hint="eastAsia" w:asciiTheme="minorEastAsia" w:hAnsiTheme="minorEastAsia" w:eastAsiaTheme="minorEastAsia"/>
          <w:kern w:val="2"/>
          <w:sz w:val="24"/>
          <w:szCs w:val="24"/>
        </w:rPr>
        <w:t xml:space="preserve">循环式烘干机 </w:t>
      </w:r>
      <w:r>
        <w:rPr>
          <w:rFonts w:asciiTheme="minorEastAsia" w:hAnsiTheme="minorEastAsia" w:eastAsiaTheme="minorEastAsia"/>
          <w:kern w:val="2"/>
          <w:sz w:val="24"/>
          <w:szCs w:val="24"/>
        </w:rPr>
        <w:t xml:space="preserve"> 10. </w:t>
      </w:r>
      <w:r>
        <w:rPr>
          <w:rFonts w:hint="eastAsia" w:asciiTheme="minorEastAsia" w:hAnsiTheme="minorEastAsia" w:eastAsiaTheme="minorEastAsia"/>
          <w:kern w:val="2"/>
          <w:sz w:val="24"/>
          <w:szCs w:val="24"/>
        </w:rPr>
        <w:t xml:space="preserve">生物质热风炉 </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12. 4#</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13. 5#</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14.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15. </w:t>
      </w:r>
      <w:r>
        <w:rPr>
          <w:rFonts w:hint="eastAsia" w:asciiTheme="minorEastAsia" w:hAnsiTheme="minorEastAsia" w:eastAsiaTheme="minorEastAsia"/>
          <w:kern w:val="2"/>
          <w:sz w:val="24"/>
          <w:szCs w:val="24"/>
        </w:rPr>
        <w:t>除尘设备及管网</w:t>
      </w: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14  Ⅴ</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070225"/>
            <wp:effectExtent l="0" t="0" r="0"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22" cstate="print">
                      <a:extLst>
                        <a:ext uri="{28A0092B-C50C-407E-A947-70E740481C1C}">
                          <a14:useLocalDpi xmlns:a14="http://schemas.microsoft.com/office/drawing/2010/main" val="false"/>
                        </a:ext>
                      </a:extLst>
                    </a:blip>
                    <a:srcRect t="17725" b="28662"/>
                    <a:stretch>
                      <a:fillRect/>
                    </a:stretch>
                  </pic:blipFill>
                  <pic:spPr>
                    <a:xfrm>
                      <a:off x="0" y="0"/>
                      <a:ext cx="8100000" cy="30708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16. 6#</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15  Ⅴ</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02075"/>
            <wp:effectExtent l="0" t="0" r="0" b="3175"/>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23" cstate="print">
                      <a:extLst>
                        <a:ext uri="{28A0092B-C50C-407E-A947-70E740481C1C}">
                          <a14:useLocalDpi xmlns:a14="http://schemas.microsoft.com/office/drawing/2010/main" val="false"/>
                        </a:ext>
                      </a:extLst>
                    </a:blip>
                    <a:srcRect t="9895" b="21922"/>
                    <a:stretch>
                      <a:fillRect/>
                    </a:stretch>
                  </pic:blipFill>
                  <pic:spPr>
                    <a:xfrm>
                      <a:off x="0" y="0"/>
                      <a:ext cx="8100000" cy="39024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16  Ⅵ</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660775"/>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24" cstate="print">
                      <a:extLst>
                        <a:ext uri="{28A0092B-C50C-407E-A947-70E740481C1C}">
                          <a14:useLocalDpi xmlns:a14="http://schemas.microsoft.com/office/drawing/2010/main" val="false"/>
                        </a:ext>
                      </a:extLst>
                    </a:blip>
                    <a:srcRect t="8047" b="28008"/>
                    <a:stretch>
                      <a:fillRect/>
                    </a:stretch>
                  </pic:blipFill>
                  <pic:spPr>
                    <a:xfrm>
                      <a:off x="0" y="0"/>
                      <a:ext cx="8100000" cy="3661200"/>
                    </a:xfrm>
                    <a:prstGeom prst="rect">
                      <a:avLst/>
                    </a:prstGeom>
                    <a:ln>
                      <a:noFill/>
                    </a:ln>
                  </pic:spPr>
                </pic:pic>
              </a:graphicData>
            </a:graphic>
          </wp:inline>
        </w:drawing>
      </w:r>
    </w:p>
    <w:p>
      <w:pPr>
        <w:pStyle w:val="27"/>
        <w:spacing w:line="360" w:lineRule="auto"/>
        <w:ind w:firstLine="0" w:firstLineChars="0"/>
        <w:jc w:val="center"/>
        <w:rPr>
          <w:rFonts w:asciiTheme="minorEastAsia" w:hAnsiTheme="minorEastAsia" w:eastAsiaTheme="minorEastAsia"/>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卸粮斗</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清选机</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6. </w:t>
      </w:r>
      <w:r>
        <w:rPr>
          <w:rFonts w:hint="eastAsia" w:asciiTheme="minorEastAsia" w:hAnsiTheme="minorEastAsia" w:eastAsiaTheme="minorEastAsia"/>
          <w:kern w:val="2"/>
          <w:sz w:val="24"/>
          <w:szCs w:val="24"/>
        </w:rPr>
        <w:t xml:space="preserve">烘前仓 </w:t>
      </w:r>
      <w:r>
        <w:rPr>
          <w:rFonts w:asciiTheme="minorEastAsia" w:hAnsiTheme="minorEastAsia" w:eastAsiaTheme="minorEastAsia"/>
          <w:kern w:val="2"/>
          <w:sz w:val="24"/>
          <w:szCs w:val="24"/>
        </w:rPr>
        <w:t xml:space="preserve"> 7. 3#</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8.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32"/>
          <w:szCs w:val="32"/>
        </w:rPr>
      </w:pPr>
      <w:r>
        <w:rPr>
          <w:rFonts w:asciiTheme="minorEastAsia" w:hAnsiTheme="minorEastAsia" w:eastAsiaTheme="minorEastAsia"/>
          <w:kern w:val="2"/>
          <w:sz w:val="24"/>
          <w:szCs w:val="24"/>
        </w:rPr>
        <w:t xml:space="preserve">9. </w:t>
      </w:r>
      <w:r>
        <w:rPr>
          <w:rFonts w:hint="eastAsia" w:asciiTheme="minorEastAsia" w:hAnsiTheme="minorEastAsia" w:eastAsiaTheme="minorEastAsia"/>
          <w:kern w:val="2"/>
          <w:sz w:val="24"/>
          <w:szCs w:val="24"/>
        </w:rPr>
        <w:t>循环式烘干机</w:t>
      </w:r>
      <w:r>
        <w:rPr>
          <w:rFonts w:asciiTheme="minorEastAsia" w:hAnsiTheme="minorEastAsia" w:eastAsiaTheme="minorEastAsia"/>
          <w:kern w:val="2"/>
          <w:sz w:val="24"/>
          <w:szCs w:val="24"/>
        </w:rPr>
        <w:t xml:space="preserve">  10. </w:t>
      </w:r>
      <w:r>
        <w:rPr>
          <w:rFonts w:hint="eastAsia" w:asciiTheme="minorEastAsia" w:hAnsiTheme="minorEastAsia" w:eastAsiaTheme="minorEastAsia"/>
          <w:kern w:val="2"/>
          <w:sz w:val="24"/>
          <w:szCs w:val="24"/>
        </w:rPr>
        <w:t xml:space="preserve">生物质热风炉 </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12. 4#</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13. 5#</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14.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15. </w:t>
      </w:r>
      <w:r>
        <w:rPr>
          <w:rFonts w:hint="eastAsia" w:asciiTheme="minorEastAsia" w:hAnsiTheme="minorEastAsia" w:eastAsiaTheme="minorEastAsia"/>
          <w:kern w:val="2"/>
          <w:sz w:val="24"/>
          <w:szCs w:val="24"/>
        </w:rPr>
        <w:t>除尘设备及管网</w:t>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17  Ⅵ</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2724785"/>
            <wp:effectExtent l="0" t="0" r="0" b="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25" cstate="print">
                      <a:extLst>
                        <a:ext uri="{28A0092B-C50C-407E-A947-70E740481C1C}">
                          <a14:useLocalDpi xmlns:a14="http://schemas.microsoft.com/office/drawing/2010/main" val="false"/>
                        </a:ext>
                      </a:extLst>
                    </a:blip>
                    <a:srcRect t="21422" b="30947"/>
                    <a:stretch>
                      <a:fillRect/>
                    </a:stretch>
                  </pic:blipFill>
                  <pic:spPr>
                    <a:xfrm>
                      <a:off x="0" y="0"/>
                      <a:ext cx="8100000" cy="27252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16. 6#</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18  Ⅵ</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171950"/>
            <wp:effectExtent l="0" t="0" r="0"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26" cstate="print">
                      <a:extLst>
                        <a:ext uri="{28A0092B-C50C-407E-A947-70E740481C1C}">
                          <a14:useLocalDpi xmlns:a14="http://schemas.microsoft.com/office/drawing/2010/main" val="false"/>
                        </a:ext>
                      </a:extLst>
                    </a:blip>
                    <a:srcRect t="10548" b="16590"/>
                    <a:stretch>
                      <a:fillRect/>
                    </a:stretch>
                  </pic:blipFill>
                  <pic:spPr>
                    <a:xfrm>
                      <a:off x="0" y="0"/>
                      <a:ext cx="8100000" cy="41724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19  Ⅶ</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304540"/>
            <wp:effectExtent l="0" t="0" r="0" b="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pic:cNvPicPr>
                  </pic:nvPicPr>
                  <pic:blipFill>
                    <a:blip r:embed="rId27" cstate="print">
                      <a:extLst>
                        <a:ext uri="{28A0092B-C50C-407E-A947-70E740481C1C}">
                          <a14:useLocalDpi xmlns:a14="http://schemas.microsoft.com/office/drawing/2010/main" val="false"/>
                        </a:ext>
                      </a:extLst>
                    </a:blip>
                    <a:srcRect t="8156" b="34101"/>
                    <a:stretch>
                      <a:fillRect/>
                    </a:stretch>
                  </pic:blipFill>
                  <pic:spPr>
                    <a:xfrm>
                      <a:off x="0" y="0"/>
                      <a:ext cx="8100000" cy="3304800"/>
                    </a:xfrm>
                    <a:prstGeom prst="rect">
                      <a:avLst/>
                    </a:prstGeom>
                    <a:ln>
                      <a:noFill/>
                    </a:ln>
                  </pic:spPr>
                </pic:pic>
              </a:graphicData>
            </a:graphic>
          </wp:inline>
        </w:drawing>
      </w:r>
    </w:p>
    <w:p>
      <w:pPr>
        <w:pStyle w:val="27"/>
        <w:spacing w:line="360" w:lineRule="auto"/>
        <w:ind w:firstLine="0" w:firstLineChars="0"/>
        <w:jc w:val="center"/>
        <w:rPr>
          <w:rFonts w:asciiTheme="minorEastAsia" w:hAnsiTheme="minorEastAsia" w:eastAsiaTheme="minorEastAsia"/>
          <w:kern w:val="2"/>
          <w:sz w:val="24"/>
          <w:szCs w:val="24"/>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 xml:space="preserve">卸粮斗 </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 xml:space="preserve">清选机 </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6. </w:t>
      </w:r>
      <w:r>
        <w:rPr>
          <w:rFonts w:hint="eastAsia" w:asciiTheme="minorEastAsia" w:hAnsiTheme="minorEastAsia" w:eastAsiaTheme="minorEastAsia"/>
          <w:kern w:val="2"/>
          <w:sz w:val="24"/>
          <w:szCs w:val="24"/>
        </w:rPr>
        <w:t xml:space="preserve">烘前仓 </w:t>
      </w:r>
      <w:r>
        <w:rPr>
          <w:rFonts w:asciiTheme="minorEastAsia" w:hAnsiTheme="minorEastAsia" w:eastAsiaTheme="minorEastAsia"/>
          <w:kern w:val="2"/>
          <w:sz w:val="24"/>
          <w:szCs w:val="24"/>
        </w:rPr>
        <w:t xml:space="preserve"> 7. 3#</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8.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32"/>
          <w:szCs w:val="32"/>
        </w:rPr>
      </w:pPr>
      <w:r>
        <w:rPr>
          <w:rFonts w:asciiTheme="minorEastAsia" w:hAnsiTheme="minorEastAsia" w:eastAsiaTheme="minorEastAsia"/>
          <w:kern w:val="2"/>
          <w:sz w:val="24"/>
          <w:szCs w:val="24"/>
        </w:rPr>
        <w:t xml:space="preserve">9. </w:t>
      </w:r>
      <w:r>
        <w:rPr>
          <w:rFonts w:hint="eastAsia" w:asciiTheme="minorEastAsia" w:hAnsiTheme="minorEastAsia" w:eastAsiaTheme="minorEastAsia"/>
          <w:kern w:val="2"/>
          <w:sz w:val="24"/>
          <w:szCs w:val="24"/>
        </w:rPr>
        <w:t xml:space="preserve">循环式烘干机 </w:t>
      </w:r>
      <w:r>
        <w:rPr>
          <w:rFonts w:asciiTheme="minorEastAsia" w:hAnsiTheme="minorEastAsia" w:eastAsiaTheme="minorEastAsia"/>
          <w:kern w:val="2"/>
          <w:sz w:val="24"/>
          <w:szCs w:val="24"/>
        </w:rPr>
        <w:t xml:space="preserve"> 10. </w:t>
      </w:r>
      <w:r>
        <w:rPr>
          <w:rFonts w:hint="eastAsia" w:asciiTheme="minorEastAsia" w:hAnsiTheme="minorEastAsia" w:eastAsiaTheme="minorEastAsia"/>
          <w:kern w:val="2"/>
          <w:sz w:val="24"/>
          <w:szCs w:val="24"/>
        </w:rPr>
        <w:t xml:space="preserve">生物质热风炉 </w:t>
      </w:r>
      <w:r>
        <w:rPr>
          <w:rFonts w:asciiTheme="minorEastAsia" w:hAnsiTheme="minorEastAsia" w:eastAsiaTheme="minorEastAsia"/>
          <w:kern w:val="2"/>
          <w:sz w:val="24"/>
          <w:szCs w:val="24"/>
        </w:rPr>
        <w:t xml:space="preserve"> 11. 5#</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12. 4#</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13. 6#</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14. </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15. </w:t>
      </w:r>
      <w:r>
        <w:rPr>
          <w:rFonts w:hint="eastAsia" w:asciiTheme="minorEastAsia" w:hAnsiTheme="minorEastAsia" w:eastAsiaTheme="minorEastAsia"/>
          <w:kern w:val="2"/>
          <w:sz w:val="24"/>
          <w:szCs w:val="24"/>
        </w:rPr>
        <w:t>除尘设备及管网</w:t>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20  Ⅶ</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2228215"/>
            <wp:effectExtent l="0" t="0" r="0" b="635"/>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28" cstate="print">
                      <a:extLst>
                        <a:ext uri="{28A0092B-C50C-407E-A947-70E740481C1C}">
                          <a14:useLocalDpi xmlns:a14="http://schemas.microsoft.com/office/drawing/2010/main" val="false"/>
                        </a:ext>
                      </a:extLst>
                    </a:blip>
                    <a:srcRect t="24684" b="36386"/>
                    <a:stretch>
                      <a:fillRect/>
                    </a:stretch>
                  </pic:blipFill>
                  <pic:spPr>
                    <a:xfrm>
                      <a:off x="0" y="0"/>
                      <a:ext cx="8100000" cy="22284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16. 7#</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17.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18.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21  Ⅶ</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34460"/>
            <wp:effectExtent l="0" t="0" r="0" b="8890"/>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pic:cNvPicPr>
                  </pic:nvPicPr>
                  <pic:blipFill>
                    <a:blip r:embed="rId29" cstate="print">
                      <a:extLst>
                        <a:ext uri="{28A0092B-C50C-407E-A947-70E740481C1C}">
                          <a14:useLocalDpi xmlns:a14="http://schemas.microsoft.com/office/drawing/2010/main" val="false"/>
                        </a:ext>
                      </a:extLst>
                    </a:blip>
                    <a:srcRect t="9569" b="21703"/>
                    <a:stretch>
                      <a:fillRect/>
                    </a:stretch>
                  </pic:blipFill>
                  <pic:spPr>
                    <a:xfrm>
                      <a:off x="0" y="0"/>
                      <a:ext cx="8100000" cy="39348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22  Ⅴ</w:t>
      </w:r>
      <w:r>
        <w:rPr>
          <w:rFonts w:hint="eastAsia" w:asciiTheme="minorEastAsia" w:hAnsiTheme="minorEastAsia" w:eastAsiaTheme="minorEastAsia"/>
          <w:b/>
          <w:kern w:val="2"/>
          <w:sz w:val="32"/>
          <w:szCs w:val="32"/>
        </w:rPr>
        <w:t>型稻谷烘干中心成套设备平面布置参考图</w:t>
      </w: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255135"/>
            <wp:effectExtent l="0" t="0" r="0" b="0"/>
            <wp:docPr id="88"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true"/>
                    </pic:cNvPicPr>
                  </pic:nvPicPr>
                  <pic:blipFill>
                    <a:blip r:embed="rId30" cstate="print">
                      <a:extLst>
                        <a:ext uri="{28A0092B-C50C-407E-A947-70E740481C1C}">
                          <a14:useLocalDpi xmlns:a14="http://schemas.microsoft.com/office/drawing/2010/main" val="false"/>
                        </a:ext>
                      </a:extLst>
                    </a:blip>
                    <a:srcRect t="6693" b="18956"/>
                    <a:stretch>
                      <a:fillRect/>
                    </a:stretch>
                  </pic:blipFill>
                  <pic:spPr>
                    <a:xfrm>
                      <a:off x="0" y="0"/>
                      <a:ext cx="8100000" cy="4255200"/>
                    </a:xfrm>
                    <a:prstGeom prst="rect">
                      <a:avLst/>
                    </a:prstGeom>
                    <a:ln>
                      <a:noFill/>
                    </a:ln>
                  </pic:spPr>
                </pic:pic>
              </a:graphicData>
            </a:graphic>
          </wp:inline>
        </w:drawing>
      </w:r>
    </w:p>
    <w:p>
      <w:pPr>
        <w:pStyle w:val="27"/>
        <w:spacing w:line="360" w:lineRule="auto"/>
        <w:ind w:firstLine="0" w:firstLineChars="0"/>
        <w:rPr>
          <w:rFonts w:ascii="Times New Roman" w:hAnsi="Times New Roman" w:eastAsia="黑体"/>
          <w:kern w:val="2"/>
          <w:sz w:val="32"/>
          <w:szCs w:val="32"/>
        </w:rPr>
      </w:pP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1. </w:t>
      </w:r>
      <w:r>
        <w:rPr>
          <w:rFonts w:hint="eastAsia" w:asciiTheme="minorEastAsia" w:hAnsiTheme="minorEastAsia" w:eastAsiaTheme="minorEastAsia"/>
          <w:kern w:val="2"/>
          <w:sz w:val="24"/>
          <w:szCs w:val="24"/>
        </w:rPr>
        <w:t>卸粮斗</w:t>
      </w:r>
      <w:r>
        <w:rPr>
          <w:rFonts w:asciiTheme="minorEastAsia" w:hAnsiTheme="minorEastAsia" w:eastAsiaTheme="minorEastAsia"/>
          <w:kern w:val="2"/>
          <w:sz w:val="24"/>
          <w:szCs w:val="24"/>
        </w:rPr>
        <w:t xml:space="preserve">  2. 1#</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3. </w:t>
      </w:r>
      <w:r>
        <w:rPr>
          <w:rFonts w:hint="eastAsia" w:asciiTheme="minorEastAsia" w:hAnsiTheme="minorEastAsia" w:eastAsiaTheme="minorEastAsia"/>
          <w:kern w:val="2"/>
          <w:sz w:val="24"/>
          <w:szCs w:val="24"/>
        </w:rPr>
        <w:t xml:space="preserve">清选机 </w:t>
      </w:r>
      <w:r>
        <w:rPr>
          <w:rFonts w:asciiTheme="minorEastAsia" w:hAnsiTheme="minorEastAsia" w:eastAsiaTheme="minorEastAsia"/>
          <w:kern w:val="2"/>
          <w:sz w:val="24"/>
          <w:szCs w:val="24"/>
        </w:rPr>
        <w:t xml:space="preserve"> 4. 2#</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5. 1#</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6. </w:t>
      </w:r>
      <w:r>
        <w:rPr>
          <w:rFonts w:hint="eastAsia" w:asciiTheme="minorEastAsia" w:hAnsiTheme="minorEastAsia" w:eastAsiaTheme="minorEastAsia"/>
          <w:kern w:val="2"/>
          <w:sz w:val="24"/>
          <w:szCs w:val="24"/>
        </w:rPr>
        <w:t>烘前仓</w:t>
      </w:r>
      <w:r>
        <w:rPr>
          <w:rFonts w:asciiTheme="minorEastAsia" w:hAnsiTheme="minorEastAsia" w:eastAsiaTheme="minorEastAsia"/>
          <w:kern w:val="2"/>
          <w:sz w:val="24"/>
          <w:szCs w:val="24"/>
        </w:rPr>
        <w:t xml:space="preserve">  7. 3#</w:t>
      </w:r>
      <w:r>
        <w:rPr>
          <w:rFonts w:hint="eastAsia" w:asciiTheme="minorEastAsia" w:hAnsiTheme="minorEastAsia" w:eastAsiaTheme="minorEastAsia"/>
          <w:kern w:val="2"/>
          <w:sz w:val="24"/>
          <w:szCs w:val="24"/>
        </w:rPr>
        <w:t xml:space="preserve">提升机 </w:t>
      </w:r>
      <w:r>
        <w:rPr>
          <w:rFonts w:asciiTheme="minorEastAsia" w:hAnsiTheme="minorEastAsia" w:eastAsiaTheme="minorEastAsia"/>
          <w:kern w:val="2"/>
          <w:sz w:val="24"/>
          <w:szCs w:val="24"/>
        </w:rPr>
        <w:t xml:space="preserve"> 8. 3#</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spacing w:line="360" w:lineRule="auto"/>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 xml:space="preserve">9. </w:t>
      </w:r>
      <w:r>
        <w:rPr>
          <w:rFonts w:hint="eastAsia" w:asciiTheme="minorEastAsia" w:hAnsiTheme="minorEastAsia" w:eastAsiaTheme="minorEastAsia"/>
          <w:kern w:val="2"/>
          <w:sz w:val="24"/>
          <w:szCs w:val="24"/>
        </w:rPr>
        <w:t xml:space="preserve">循环式烘干机 </w:t>
      </w:r>
      <w:r>
        <w:rPr>
          <w:rFonts w:asciiTheme="minorEastAsia" w:hAnsiTheme="minorEastAsia" w:eastAsiaTheme="minorEastAsia"/>
          <w:kern w:val="2"/>
          <w:sz w:val="24"/>
          <w:szCs w:val="24"/>
        </w:rPr>
        <w:t xml:space="preserve">10. </w:t>
      </w:r>
      <w:r>
        <w:rPr>
          <w:rFonts w:hint="eastAsia" w:asciiTheme="minorEastAsia" w:hAnsiTheme="minorEastAsia" w:eastAsiaTheme="minorEastAsia"/>
          <w:kern w:val="2"/>
          <w:sz w:val="24"/>
          <w:szCs w:val="24"/>
        </w:rPr>
        <w:t>燃油</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燃气热风炉</w:t>
      </w:r>
      <w:r>
        <w:rPr>
          <w:rFonts w:asciiTheme="minorEastAsia" w:hAnsiTheme="minorEastAsia" w:eastAsiaTheme="minorEastAsia"/>
          <w:kern w:val="2"/>
          <w:sz w:val="24"/>
          <w:szCs w:val="24"/>
        </w:rPr>
        <w:t xml:space="preserve">  11. 4#</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12. 4#</w:t>
      </w:r>
      <w:r>
        <w:rPr>
          <w:rFonts w:hint="eastAsia" w:asciiTheme="minorEastAsia" w:hAnsiTheme="minorEastAsia" w:eastAsiaTheme="minorEastAsia"/>
          <w:kern w:val="2"/>
          <w:sz w:val="24"/>
          <w:szCs w:val="24"/>
        </w:rPr>
        <w:t>提升机</w:t>
      </w:r>
      <w:r>
        <w:rPr>
          <w:rFonts w:asciiTheme="minorEastAsia" w:hAnsiTheme="minorEastAsia" w:eastAsiaTheme="minorEastAsia"/>
          <w:kern w:val="2"/>
          <w:sz w:val="24"/>
          <w:szCs w:val="24"/>
        </w:rPr>
        <w:t xml:space="preserve">  13. 5#</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r>
        <w:rPr>
          <w:rFonts w:asciiTheme="minorEastAsia" w:hAnsiTheme="minorEastAsia" w:eastAsiaTheme="minorEastAsia"/>
          <w:kern w:val="2"/>
          <w:sz w:val="24"/>
          <w:szCs w:val="24"/>
        </w:rPr>
        <w:t xml:space="preserve"> 14.</w:t>
      </w:r>
      <w:r>
        <w:rPr>
          <w:rFonts w:hint="eastAsia" w:asciiTheme="minorEastAsia" w:hAnsiTheme="minorEastAsia" w:eastAsiaTheme="minorEastAsia"/>
          <w:kern w:val="2"/>
          <w:sz w:val="24"/>
          <w:szCs w:val="24"/>
        </w:rPr>
        <w:t>烘后仓</w:t>
      </w:r>
      <w:r>
        <w:rPr>
          <w:rFonts w:asciiTheme="minorEastAsia" w:hAnsiTheme="minorEastAsia" w:eastAsiaTheme="minorEastAsia"/>
          <w:kern w:val="2"/>
          <w:sz w:val="24"/>
          <w:szCs w:val="24"/>
        </w:rPr>
        <w:t xml:space="preserve"> 15. </w:t>
      </w:r>
      <w:r>
        <w:rPr>
          <w:rFonts w:hint="eastAsia" w:asciiTheme="minorEastAsia" w:hAnsiTheme="minorEastAsia" w:eastAsiaTheme="minorEastAsia"/>
          <w:kern w:val="2"/>
          <w:sz w:val="24"/>
          <w:szCs w:val="24"/>
        </w:rPr>
        <w:t>除尘设备及管网</w:t>
      </w:r>
    </w:p>
    <w:p>
      <w:pPr>
        <w:pStyle w:val="27"/>
        <w:ind w:firstLine="0" w:firstLineChars="0"/>
        <w:jc w:val="left"/>
        <w:rPr>
          <w:rFonts w:ascii="Times New Roman" w:hAnsi="Times New Roman" w:eastAsia="黑体"/>
          <w:kern w:val="2"/>
          <w:sz w:val="24"/>
          <w:szCs w:val="24"/>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23  Ⅴ</w:t>
      </w:r>
      <w:r>
        <w:rPr>
          <w:rFonts w:hint="eastAsia" w:asciiTheme="minorEastAsia" w:hAnsiTheme="minorEastAsia" w:eastAsiaTheme="minorEastAsia"/>
          <w:b/>
          <w:kern w:val="2"/>
          <w:sz w:val="32"/>
          <w:szCs w:val="32"/>
        </w:rPr>
        <w:t>型稻谷烘干中心成套设备立面布置参考图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164205"/>
            <wp:effectExtent l="0" t="0" r="0" b="0"/>
            <wp:docPr id="89"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true"/>
                    </pic:cNvPicPr>
                  </pic:nvPicPr>
                  <pic:blipFill>
                    <a:blip r:embed="rId31" cstate="print">
                      <a:extLst>
                        <a:ext uri="{28A0092B-C50C-407E-A947-70E740481C1C}">
                          <a14:useLocalDpi xmlns:a14="http://schemas.microsoft.com/office/drawing/2010/main" val="false"/>
                        </a:ext>
                      </a:extLst>
                    </a:blip>
                    <a:srcRect t="14680" b="30076"/>
                    <a:stretch>
                      <a:fillRect/>
                    </a:stretch>
                  </pic:blipFill>
                  <pic:spPr>
                    <a:xfrm>
                      <a:off x="0" y="0"/>
                      <a:ext cx="8100000" cy="3164400"/>
                    </a:xfrm>
                    <a:prstGeom prst="rect">
                      <a:avLst/>
                    </a:prstGeom>
                    <a:ln>
                      <a:noFill/>
                    </a:ln>
                  </pic:spPr>
                </pic:pic>
              </a:graphicData>
            </a:graphic>
          </wp:inline>
        </w:drawing>
      </w: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imes New Roman" w:hAnsi="Times New Roman" w:eastAsia="黑体"/>
          <w:kern w:val="2"/>
          <w:sz w:val="24"/>
          <w:szCs w:val="24"/>
        </w:rPr>
      </w:pPr>
    </w:p>
    <w:p>
      <w:pPr>
        <w:pStyle w:val="27"/>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t>16. 6#</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 xml:space="preserve">皮带输送机 </w:t>
      </w:r>
      <w:r>
        <w:rPr>
          <w:rFonts w:asciiTheme="minorEastAsia" w:hAnsiTheme="minorEastAsia" w:eastAsiaTheme="minorEastAsia"/>
          <w:kern w:val="2"/>
          <w:sz w:val="24"/>
          <w:szCs w:val="24"/>
        </w:rPr>
        <w:t xml:space="preserve"> 17. 2#</w:t>
      </w:r>
      <w:r>
        <w:rPr>
          <w:rFonts w:hint="eastAsia" w:asciiTheme="minorEastAsia" w:hAnsiTheme="minorEastAsia" w:eastAsiaTheme="minorEastAsia"/>
          <w:kern w:val="2"/>
          <w:sz w:val="24"/>
          <w:szCs w:val="24"/>
        </w:rPr>
        <w:t>刮板机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皮带输送机</w:t>
      </w:r>
    </w:p>
    <w:p>
      <w:pPr>
        <w:pStyle w:val="27"/>
        <w:ind w:firstLine="0" w:firstLineChars="0"/>
        <w:rPr>
          <w:rFonts w:ascii="Times New Roman" w:hAnsi="Times New Roman" w:eastAsia="黑体"/>
          <w:kern w:val="2"/>
          <w:sz w:val="32"/>
          <w:szCs w:val="32"/>
        </w:rPr>
      </w:pPr>
    </w:p>
    <w:p>
      <w:pPr>
        <w:pStyle w:val="27"/>
        <w:ind w:firstLine="0" w:firstLineChars="0"/>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附图</w:t>
      </w:r>
      <w:r>
        <w:rPr>
          <w:rFonts w:asciiTheme="minorEastAsia" w:hAnsiTheme="minorEastAsia" w:eastAsiaTheme="minorEastAsia"/>
          <w:b/>
          <w:kern w:val="2"/>
          <w:sz w:val="32"/>
          <w:szCs w:val="32"/>
        </w:rPr>
        <w:t>24  Ⅴ</w:t>
      </w:r>
      <w:r>
        <w:rPr>
          <w:rFonts w:hint="eastAsia" w:asciiTheme="minorEastAsia" w:hAnsiTheme="minorEastAsia" w:eastAsiaTheme="minorEastAsia"/>
          <w:b/>
          <w:kern w:val="2"/>
          <w:sz w:val="32"/>
          <w:szCs w:val="32"/>
        </w:rPr>
        <w:t>型稻谷烘干中心成套设备侧面布置参考图</w:t>
      </w:r>
    </w:p>
    <w:p>
      <w:pPr>
        <w:pStyle w:val="27"/>
        <w:ind w:firstLine="0" w:firstLineChars="0"/>
        <w:rPr>
          <w:rFonts w:ascii="Times New Roman" w:hAnsi="Times New Roman" w:eastAsia="黑体"/>
          <w:kern w:val="2"/>
          <w:sz w:val="32"/>
          <w:szCs w:val="32"/>
        </w:rPr>
      </w:pPr>
    </w:p>
    <w:p>
      <w:pPr>
        <w:pStyle w:val="27"/>
        <w:ind w:firstLine="0" w:firstLineChars="0"/>
        <w:rPr>
          <w:rFonts w:ascii="Times New Roman" w:hAnsi="Times New Roman" w:eastAsia="黑体"/>
          <w:kern w:val="2"/>
          <w:sz w:val="32"/>
          <w:szCs w:val="32"/>
        </w:rPr>
      </w:pPr>
    </w:p>
    <w:p>
      <w:pPr>
        <w:pStyle w:val="2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258310"/>
            <wp:effectExtent l="0" t="0" r="0" b="8890"/>
            <wp:docPr id="90"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true"/>
                    </pic:cNvPicPr>
                  </pic:nvPicPr>
                  <pic:blipFill>
                    <a:blip r:embed="rId32" cstate="print">
                      <a:extLst>
                        <a:ext uri="{28A0092B-C50C-407E-A947-70E740481C1C}">
                          <a14:useLocalDpi xmlns:a14="http://schemas.microsoft.com/office/drawing/2010/main" val="false"/>
                        </a:ext>
                      </a:extLst>
                    </a:blip>
                    <a:srcRect t="4024" b="21597"/>
                    <a:stretch>
                      <a:fillRect/>
                    </a:stretch>
                  </pic:blipFill>
                  <pic:spPr>
                    <a:xfrm>
                      <a:off x="0" y="0"/>
                      <a:ext cx="8100000" cy="4258800"/>
                    </a:xfrm>
                    <a:prstGeom prst="rect">
                      <a:avLst/>
                    </a:prstGeom>
                    <a:ln>
                      <a:noFill/>
                    </a:ln>
                  </pic:spPr>
                </pic:pic>
              </a:graphicData>
            </a:graphic>
          </wp:inline>
        </w:drawing>
      </w:r>
    </w:p>
    <w:p>
      <w:pPr>
        <w:pStyle w:val="27"/>
        <w:ind w:firstLine="0" w:firstLineChars="0"/>
        <w:rPr>
          <w:rFonts w:ascii="Times New Roman" w:hAnsi="Times New Roman" w:eastAsia="黑体"/>
          <w:kern w:val="2"/>
          <w:sz w:val="32"/>
          <w:szCs w:val="32"/>
        </w:rPr>
      </w:pPr>
    </w:p>
    <w:sectPr>
      <w:pgSz w:w="16838" w:h="11906" w:orient="landscape"/>
      <w:pgMar w:top="720" w:right="720" w:bottom="720" w:left="72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Open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仿宋">
    <w:panose1 w:val="02010609060101010101"/>
    <w:charset w:val="86"/>
    <w:family w:val="modern"/>
    <w:pitch w:val="default"/>
    <w:sig w:usb0="800002BF" w:usb1="38CF7CFA" w:usb2="00000016" w:usb3="00000000" w:csb0="00040001" w:csb1="00000000"/>
  </w:font>
  <w:font w:name="Adobe Gothic Std B">
    <w:altName w:val="黑体"/>
    <w:panose1 w:val="020B0800000000000000"/>
    <w:charset w:val="80"/>
    <w:family w:val="swiss"/>
    <w:pitch w:val="default"/>
    <w:sig w:usb0="00000000" w:usb1="00000000" w:usb2="00000010" w:usb3="00000000" w:csb0="002A0005" w:csb1="00000000"/>
  </w:font>
  <w:font w:name="方正黑体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367E9"/>
    <w:multiLevelType w:val="multilevel"/>
    <w:tmpl w:val="0AE367E9"/>
    <w:lvl w:ilvl="0" w:tentative="0">
      <w:start w:val="1"/>
      <w:numFmt w:val="none"/>
      <w:pStyle w:val="39"/>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
    <w:nsid w:val="0D983844"/>
    <w:multiLevelType w:val="multilevel"/>
    <w:tmpl w:val="0D983844"/>
    <w:lvl w:ilvl="0" w:tentative="0">
      <w:start w:val="1"/>
      <w:numFmt w:val="decimal"/>
      <w:pStyle w:val="4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9733ADA"/>
    <w:multiLevelType w:val="multilevel"/>
    <w:tmpl w:val="69733ADA"/>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4.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B7"/>
    <w:rsid w:val="000003C8"/>
    <w:rsid w:val="00004477"/>
    <w:rsid w:val="00006E7D"/>
    <w:rsid w:val="000071AC"/>
    <w:rsid w:val="000128D8"/>
    <w:rsid w:val="00016277"/>
    <w:rsid w:val="0002346B"/>
    <w:rsid w:val="00023CA2"/>
    <w:rsid w:val="000245C3"/>
    <w:rsid w:val="00026BA9"/>
    <w:rsid w:val="00026FC7"/>
    <w:rsid w:val="0003111A"/>
    <w:rsid w:val="000334F0"/>
    <w:rsid w:val="00041C77"/>
    <w:rsid w:val="00041DBF"/>
    <w:rsid w:val="000420E9"/>
    <w:rsid w:val="0004388C"/>
    <w:rsid w:val="00044488"/>
    <w:rsid w:val="0004543E"/>
    <w:rsid w:val="00045D5E"/>
    <w:rsid w:val="00047095"/>
    <w:rsid w:val="00054971"/>
    <w:rsid w:val="00056BC7"/>
    <w:rsid w:val="00060075"/>
    <w:rsid w:val="000732EB"/>
    <w:rsid w:val="00076A28"/>
    <w:rsid w:val="00083CCA"/>
    <w:rsid w:val="00086793"/>
    <w:rsid w:val="00086B2D"/>
    <w:rsid w:val="00090B6C"/>
    <w:rsid w:val="00091865"/>
    <w:rsid w:val="00094C70"/>
    <w:rsid w:val="000A09CA"/>
    <w:rsid w:val="000A1460"/>
    <w:rsid w:val="000A5A8A"/>
    <w:rsid w:val="000B446B"/>
    <w:rsid w:val="000B6221"/>
    <w:rsid w:val="000B6CF3"/>
    <w:rsid w:val="000C0E8C"/>
    <w:rsid w:val="000D0005"/>
    <w:rsid w:val="000D1270"/>
    <w:rsid w:val="000D3084"/>
    <w:rsid w:val="000E1374"/>
    <w:rsid w:val="000E1B0D"/>
    <w:rsid w:val="000E403A"/>
    <w:rsid w:val="000E512A"/>
    <w:rsid w:val="000F154E"/>
    <w:rsid w:val="000F292C"/>
    <w:rsid w:val="000F5AC0"/>
    <w:rsid w:val="000F5B17"/>
    <w:rsid w:val="000F70A7"/>
    <w:rsid w:val="00102415"/>
    <w:rsid w:val="001031D2"/>
    <w:rsid w:val="00103937"/>
    <w:rsid w:val="00107493"/>
    <w:rsid w:val="00113575"/>
    <w:rsid w:val="0011438A"/>
    <w:rsid w:val="00114E20"/>
    <w:rsid w:val="0012028D"/>
    <w:rsid w:val="0012139E"/>
    <w:rsid w:val="001229F5"/>
    <w:rsid w:val="001254EE"/>
    <w:rsid w:val="00141B76"/>
    <w:rsid w:val="001423B9"/>
    <w:rsid w:val="00143132"/>
    <w:rsid w:val="00144AF6"/>
    <w:rsid w:val="001450C1"/>
    <w:rsid w:val="00154C83"/>
    <w:rsid w:val="00156FC5"/>
    <w:rsid w:val="00157895"/>
    <w:rsid w:val="0016121D"/>
    <w:rsid w:val="00167A42"/>
    <w:rsid w:val="00171360"/>
    <w:rsid w:val="001721E4"/>
    <w:rsid w:val="001774A9"/>
    <w:rsid w:val="00186E81"/>
    <w:rsid w:val="00192FCE"/>
    <w:rsid w:val="001A1DC1"/>
    <w:rsid w:val="001A544F"/>
    <w:rsid w:val="001A70F5"/>
    <w:rsid w:val="001B1C0E"/>
    <w:rsid w:val="001B3BA5"/>
    <w:rsid w:val="001B4122"/>
    <w:rsid w:val="001B44FD"/>
    <w:rsid w:val="001B55BE"/>
    <w:rsid w:val="001C3CA7"/>
    <w:rsid w:val="001C6244"/>
    <w:rsid w:val="001D0369"/>
    <w:rsid w:val="001D1824"/>
    <w:rsid w:val="001D54F4"/>
    <w:rsid w:val="001E05CC"/>
    <w:rsid w:val="001F3DD5"/>
    <w:rsid w:val="001F4D28"/>
    <w:rsid w:val="00203012"/>
    <w:rsid w:val="00205235"/>
    <w:rsid w:val="0021332C"/>
    <w:rsid w:val="002168E5"/>
    <w:rsid w:val="002211D7"/>
    <w:rsid w:val="0022428A"/>
    <w:rsid w:val="00226379"/>
    <w:rsid w:val="00227533"/>
    <w:rsid w:val="00231591"/>
    <w:rsid w:val="00232BD8"/>
    <w:rsid w:val="002339FA"/>
    <w:rsid w:val="00233A3C"/>
    <w:rsid w:val="00234C64"/>
    <w:rsid w:val="00235F23"/>
    <w:rsid w:val="00242A57"/>
    <w:rsid w:val="00243DAE"/>
    <w:rsid w:val="00250BDE"/>
    <w:rsid w:val="00252BBD"/>
    <w:rsid w:val="0025560C"/>
    <w:rsid w:val="002573C4"/>
    <w:rsid w:val="00257CFD"/>
    <w:rsid w:val="00262DC1"/>
    <w:rsid w:val="00263171"/>
    <w:rsid w:val="00264E8E"/>
    <w:rsid w:val="0027463D"/>
    <w:rsid w:val="002775A2"/>
    <w:rsid w:val="002824C4"/>
    <w:rsid w:val="00285806"/>
    <w:rsid w:val="00290139"/>
    <w:rsid w:val="00295DB6"/>
    <w:rsid w:val="00296665"/>
    <w:rsid w:val="002A73CC"/>
    <w:rsid w:val="002B4F1D"/>
    <w:rsid w:val="002B75F3"/>
    <w:rsid w:val="002C0ACA"/>
    <w:rsid w:val="002C1978"/>
    <w:rsid w:val="002C4ABC"/>
    <w:rsid w:val="002D1577"/>
    <w:rsid w:val="002D5141"/>
    <w:rsid w:val="002E06E7"/>
    <w:rsid w:val="002E1255"/>
    <w:rsid w:val="002E1428"/>
    <w:rsid w:val="002E56EC"/>
    <w:rsid w:val="002F1160"/>
    <w:rsid w:val="002F278E"/>
    <w:rsid w:val="002F4116"/>
    <w:rsid w:val="002F49B9"/>
    <w:rsid w:val="002F737C"/>
    <w:rsid w:val="003008A7"/>
    <w:rsid w:val="00302189"/>
    <w:rsid w:val="00303709"/>
    <w:rsid w:val="00305281"/>
    <w:rsid w:val="00311CE9"/>
    <w:rsid w:val="00322E87"/>
    <w:rsid w:val="00324225"/>
    <w:rsid w:val="00333502"/>
    <w:rsid w:val="00336699"/>
    <w:rsid w:val="003475C1"/>
    <w:rsid w:val="003538A2"/>
    <w:rsid w:val="003560DA"/>
    <w:rsid w:val="00363642"/>
    <w:rsid w:val="0037063C"/>
    <w:rsid w:val="003734F2"/>
    <w:rsid w:val="00376C34"/>
    <w:rsid w:val="003772F2"/>
    <w:rsid w:val="00381A31"/>
    <w:rsid w:val="0038577E"/>
    <w:rsid w:val="00386DC4"/>
    <w:rsid w:val="00390F27"/>
    <w:rsid w:val="0039141D"/>
    <w:rsid w:val="003922FC"/>
    <w:rsid w:val="00392808"/>
    <w:rsid w:val="003952FA"/>
    <w:rsid w:val="00396FEC"/>
    <w:rsid w:val="00397A73"/>
    <w:rsid w:val="003A468A"/>
    <w:rsid w:val="003A4E43"/>
    <w:rsid w:val="003A68DA"/>
    <w:rsid w:val="003B13D8"/>
    <w:rsid w:val="003B2934"/>
    <w:rsid w:val="003B3125"/>
    <w:rsid w:val="003B3A92"/>
    <w:rsid w:val="003B49FC"/>
    <w:rsid w:val="003B51BB"/>
    <w:rsid w:val="003B5C86"/>
    <w:rsid w:val="003C5CC3"/>
    <w:rsid w:val="003C6204"/>
    <w:rsid w:val="003C66C2"/>
    <w:rsid w:val="003D3976"/>
    <w:rsid w:val="003E062F"/>
    <w:rsid w:val="003E2E62"/>
    <w:rsid w:val="003F33D8"/>
    <w:rsid w:val="0040008D"/>
    <w:rsid w:val="00400F5B"/>
    <w:rsid w:val="004018AA"/>
    <w:rsid w:val="004056DE"/>
    <w:rsid w:val="00414219"/>
    <w:rsid w:val="004264C4"/>
    <w:rsid w:val="004274BD"/>
    <w:rsid w:val="00434023"/>
    <w:rsid w:val="00437DC7"/>
    <w:rsid w:val="004402E2"/>
    <w:rsid w:val="00440603"/>
    <w:rsid w:val="00441B14"/>
    <w:rsid w:val="00455A7E"/>
    <w:rsid w:val="004560AD"/>
    <w:rsid w:val="0045620B"/>
    <w:rsid w:val="00460795"/>
    <w:rsid w:val="00461490"/>
    <w:rsid w:val="00462AB6"/>
    <w:rsid w:val="00463DEE"/>
    <w:rsid w:val="00484EBB"/>
    <w:rsid w:val="00484F8D"/>
    <w:rsid w:val="0049108E"/>
    <w:rsid w:val="00493292"/>
    <w:rsid w:val="004A2983"/>
    <w:rsid w:val="004A5395"/>
    <w:rsid w:val="004A60E0"/>
    <w:rsid w:val="004B5D05"/>
    <w:rsid w:val="004C0865"/>
    <w:rsid w:val="004C1D99"/>
    <w:rsid w:val="004C6323"/>
    <w:rsid w:val="004D2188"/>
    <w:rsid w:val="004D2DE1"/>
    <w:rsid w:val="004D708D"/>
    <w:rsid w:val="004E20FD"/>
    <w:rsid w:val="004E46A9"/>
    <w:rsid w:val="004E68D6"/>
    <w:rsid w:val="004E7A4B"/>
    <w:rsid w:val="004F00A1"/>
    <w:rsid w:val="004F51C0"/>
    <w:rsid w:val="004F67DB"/>
    <w:rsid w:val="004F6E83"/>
    <w:rsid w:val="004F7EFD"/>
    <w:rsid w:val="00502641"/>
    <w:rsid w:val="00502FFF"/>
    <w:rsid w:val="005031CB"/>
    <w:rsid w:val="00505434"/>
    <w:rsid w:val="00512491"/>
    <w:rsid w:val="00515C8F"/>
    <w:rsid w:val="00522188"/>
    <w:rsid w:val="00522855"/>
    <w:rsid w:val="00531A3A"/>
    <w:rsid w:val="00532B0C"/>
    <w:rsid w:val="005356A5"/>
    <w:rsid w:val="005361B5"/>
    <w:rsid w:val="005444B8"/>
    <w:rsid w:val="00546515"/>
    <w:rsid w:val="00552B8A"/>
    <w:rsid w:val="0056209D"/>
    <w:rsid w:val="0056273B"/>
    <w:rsid w:val="00564941"/>
    <w:rsid w:val="00564A17"/>
    <w:rsid w:val="00565EB3"/>
    <w:rsid w:val="00567328"/>
    <w:rsid w:val="00583B90"/>
    <w:rsid w:val="00585BF3"/>
    <w:rsid w:val="005907D0"/>
    <w:rsid w:val="00592987"/>
    <w:rsid w:val="00593955"/>
    <w:rsid w:val="005A1E2A"/>
    <w:rsid w:val="005A3B1F"/>
    <w:rsid w:val="005A6DBF"/>
    <w:rsid w:val="005B1571"/>
    <w:rsid w:val="005B67AB"/>
    <w:rsid w:val="005B7B75"/>
    <w:rsid w:val="005C4380"/>
    <w:rsid w:val="005C5420"/>
    <w:rsid w:val="005C6435"/>
    <w:rsid w:val="005D0985"/>
    <w:rsid w:val="005D3168"/>
    <w:rsid w:val="005D58D2"/>
    <w:rsid w:val="005D74AE"/>
    <w:rsid w:val="005E307C"/>
    <w:rsid w:val="005E5908"/>
    <w:rsid w:val="005E6640"/>
    <w:rsid w:val="005E7072"/>
    <w:rsid w:val="005E7AEF"/>
    <w:rsid w:val="005F0660"/>
    <w:rsid w:val="005F55DA"/>
    <w:rsid w:val="006058F0"/>
    <w:rsid w:val="00607864"/>
    <w:rsid w:val="00607F55"/>
    <w:rsid w:val="00610C60"/>
    <w:rsid w:val="00611153"/>
    <w:rsid w:val="00617CDB"/>
    <w:rsid w:val="00617F49"/>
    <w:rsid w:val="006222CF"/>
    <w:rsid w:val="00624E58"/>
    <w:rsid w:val="0062759B"/>
    <w:rsid w:val="006300B1"/>
    <w:rsid w:val="006329BD"/>
    <w:rsid w:val="00635DE1"/>
    <w:rsid w:val="00636AD1"/>
    <w:rsid w:val="006405E4"/>
    <w:rsid w:val="00642487"/>
    <w:rsid w:val="00644466"/>
    <w:rsid w:val="00654218"/>
    <w:rsid w:val="0065461E"/>
    <w:rsid w:val="006555D4"/>
    <w:rsid w:val="00660699"/>
    <w:rsid w:val="006626C4"/>
    <w:rsid w:val="00666089"/>
    <w:rsid w:val="00667F14"/>
    <w:rsid w:val="0067198B"/>
    <w:rsid w:val="00677255"/>
    <w:rsid w:val="006810DD"/>
    <w:rsid w:val="00684C6C"/>
    <w:rsid w:val="00690961"/>
    <w:rsid w:val="00690F69"/>
    <w:rsid w:val="0069187D"/>
    <w:rsid w:val="00693071"/>
    <w:rsid w:val="006B1BF3"/>
    <w:rsid w:val="006B2B11"/>
    <w:rsid w:val="006B72D7"/>
    <w:rsid w:val="006C0E61"/>
    <w:rsid w:val="006D0A29"/>
    <w:rsid w:val="006D4654"/>
    <w:rsid w:val="006D5B77"/>
    <w:rsid w:val="006D6DDE"/>
    <w:rsid w:val="006E0F82"/>
    <w:rsid w:val="006E4728"/>
    <w:rsid w:val="006E6BF3"/>
    <w:rsid w:val="006E6C36"/>
    <w:rsid w:val="006F416C"/>
    <w:rsid w:val="00701503"/>
    <w:rsid w:val="00704535"/>
    <w:rsid w:val="00704C5D"/>
    <w:rsid w:val="00705A65"/>
    <w:rsid w:val="00705C4A"/>
    <w:rsid w:val="00713718"/>
    <w:rsid w:val="00714357"/>
    <w:rsid w:val="00715AEC"/>
    <w:rsid w:val="007169ED"/>
    <w:rsid w:val="00720A0E"/>
    <w:rsid w:val="0073286E"/>
    <w:rsid w:val="00733485"/>
    <w:rsid w:val="007436C5"/>
    <w:rsid w:val="007444D1"/>
    <w:rsid w:val="00744795"/>
    <w:rsid w:val="007470E9"/>
    <w:rsid w:val="00756254"/>
    <w:rsid w:val="00757062"/>
    <w:rsid w:val="00757637"/>
    <w:rsid w:val="00767D68"/>
    <w:rsid w:val="00775F95"/>
    <w:rsid w:val="00786888"/>
    <w:rsid w:val="00791EEC"/>
    <w:rsid w:val="00795B33"/>
    <w:rsid w:val="007A27AD"/>
    <w:rsid w:val="007B0ADA"/>
    <w:rsid w:val="007B41DC"/>
    <w:rsid w:val="007B486D"/>
    <w:rsid w:val="007B5D84"/>
    <w:rsid w:val="007B6CEC"/>
    <w:rsid w:val="007B7D0B"/>
    <w:rsid w:val="007B7DB9"/>
    <w:rsid w:val="007C0712"/>
    <w:rsid w:val="007C3CD7"/>
    <w:rsid w:val="007C3F12"/>
    <w:rsid w:val="007C3FBF"/>
    <w:rsid w:val="007C6A9E"/>
    <w:rsid w:val="007C6DC2"/>
    <w:rsid w:val="007D1041"/>
    <w:rsid w:val="007D2A40"/>
    <w:rsid w:val="007D3659"/>
    <w:rsid w:val="007D6393"/>
    <w:rsid w:val="007D6BE6"/>
    <w:rsid w:val="007E3C86"/>
    <w:rsid w:val="007E63D8"/>
    <w:rsid w:val="007E6413"/>
    <w:rsid w:val="007E7BA4"/>
    <w:rsid w:val="007F0B04"/>
    <w:rsid w:val="007F2C70"/>
    <w:rsid w:val="007F3D18"/>
    <w:rsid w:val="0080029D"/>
    <w:rsid w:val="00800FE5"/>
    <w:rsid w:val="00815D20"/>
    <w:rsid w:val="00823455"/>
    <w:rsid w:val="00825B78"/>
    <w:rsid w:val="008260DB"/>
    <w:rsid w:val="008333AF"/>
    <w:rsid w:val="00836DBD"/>
    <w:rsid w:val="00843D10"/>
    <w:rsid w:val="00847034"/>
    <w:rsid w:val="00850C67"/>
    <w:rsid w:val="00854037"/>
    <w:rsid w:val="00854802"/>
    <w:rsid w:val="008604BF"/>
    <w:rsid w:val="00861C1E"/>
    <w:rsid w:val="00861DE6"/>
    <w:rsid w:val="008711BA"/>
    <w:rsid w:val="008723D8"/>
    <w:rsid w:val="00880A04"/>
    <w:rsid w:val="0088456E"/>
    <w:rsid w:val="00891118"/>
    <w:rsid w:val="008923AB"/>
    <w:rsid w:val="00893853"/>
    <w:rsid w:val="008B0BD2"/>
    <w:rsid w:val="008B23F6"/>
    <w:rsid w:val="008B4A0E"/>
    <w:rsid w:val="008B7212"/>
    <w:rsid w:val="008C1EAB"/>
    <w:rsid w:val="008C34AB"/>
    <w:rsid w:val="008C47C3"/>
    <w:rsid w:val="008E11DC"/>
    <w:rsid w:val="008E2C7F"/>
    <w:rsid w:val="008E6948"/>
    <w:rsid w:val="008E7351"/>
    <w:rsid w:val="008E7364"/>
    <w:rsid w:val="008F0333"/>
    <w:rsid w:val="008F09E2"/>
    <w:rsid w:val="008F1C5A"/>
    <w:rsid w:val="008F566C"/>
    <w:rsid w:val="008F7475"/>
    <w:rsid w:val="008F78DF"/>
    <w:rsid w:val="00903119"/>
    <w:rsid w:val="00904A10"/>
    <w:rsid w:val="00907646"/>
    <w:rsid w:val="00923F93"/>
    <w:rsid w:val="00924160"/>
    <w:rsid w:val="00933ECD"/>
    <w:rsid w:val="00934E67"/>
    <w:rsid w:val="009405ED"/>
    <w:rsid w:val="00941775"/>
    <w:rsid w:val="00947B80"/>
    <w:rsid w:val="00950D79"/>
    <w:rsid w:val="00951FD2"/>
    <w:rsid w:val="0095599A"/>
    <w:rsid w:val="009576D0"/>
    <w:rsid w:val="00967FCD"/>
    <w:rsid w:val="009711B9"/>
    <w:rsid w:val="00974BA4"/>
    <w:rsid w:val="00976FB3"/>
    <w:rsid w:val="009772DE"/>
    <w:rsid w:val="00981C2E"/>
    <w:rsid w:val="0098594A"/>
    <w:rsid w:val="0098749E"/>
    <w:rsid w:val="00996D1B"/>
    <w:rsid w:val="009A4AF1"/>
    <w:rsid w:val="009B047D"/>
    <w:rsid w:val="009B1DB4"/>
    <w:rsid w:val="009B569D"/>
    <w:rsid w:val="009B6932"/>
    <w:rsid w:val="009C4489"/>
    <w:rsid w:val="009D18FA"/>
    <w:rsid w:val="009D33ED"/>
    <w:rsid w:val="009D5450"/>
    <w:rsid w:val="009D6259"/>
    <w:rsid w:val="009D65BB"/>
    <w:rsid w:val="009D69AD"/>
    <w:rsid w:val="009D7C5E"/>
    <w:rsid w:val="009E0206"/>
    <w:rsid w:val="009E2347"/>
    <w:rsid w:val="009E36BF"/>
    <w:rsid w:val="009E3B83"/>
    <w:rsid w:val="009E67A8"/>
    <w:rsid w:val="009F12F6"/>
    <w:rsid w:val="009F28DF"/>
    <w:rsid w:val="009F2F5A"/>
    <w:rsid w:val="00A01040"/>
    <w:rsid w:val="00A02779"/>
    <w:rsid w:val="00A0395C"/>
    <w:rsid w:val="00A140B9"/>
    <w:rsid w:val="00A14D44"/>
    <w:rsid w:val="00A157A6"/>
    <w:rsid w:val="00A15D64"/>
    <w:rsid w:val="00A170A0"/>
    <w:rsid w:val="00A17A57"/>
    <w:rsid w:val="00A205CB"/>
    <w:rsid w:val="00A23309"/>
    <w:rsid w:val="00A239C6"/>
    <w:rsid w:val="00A36C06"/>
    <w:rsid w:val="00A37CA5"/>
    <w:rsid w:val="00A5032A"/>
    <w:rsid w:val="00A505AC"/>
    <w:rsid w:val="00A50E2E"/>
    <w:rsid w:val="00A52230"/>
    <w:rsid w:val="00A52267"/>
    <w:rsid w:val="00A57143"/>
    <w:rsid w:val="00A60256"/>
    <w:rsid w:val="00A630B4"/>
    <w:rsid w:val="00A70385"/>
    <w:rsid w:val="00A71251"/>
    <w:rsid w:val="00A716F4"/>
    <w:rsid w:val="00A73720"/>
    <w:rsid w:val="00A76A90"/>
    <w:rsid w:val="00A76C3E"/>
    <w:rsid w:val="00A913C8"/>
    <w:rsid w:val="00A9503B"/>
    <w:rsid w:val="00A97630"/>
    <w:rsid w:val="00A97C88"/>
    <w:rsid w:val="00AA1551"/>
    <w:rsid w:val="00AA426D"/>
    <w:rsid w:val="00AB46BC"/>
    <w:rsid w:val="00AC016A"/>
    <w:rsid w:val="00AC2C82"/>
    <w:rsid w:val="00AC4C6F"/>
    <w:rsid w:val="00AC4CAB"/>
    <w:rsid w:val="00AD5A3A"/>
    <w:rsid w:val="00AD5E5F"/>
    <w:rsid w:val="00AE0C6C"/>
    <w:rsid w:val="00AE1F63"/>
    <w:rsid w:val="00AE57BB"/>
    <w:rsid w:val="00AE6F2C"/>
    <w:rsid w:val="00AE6FF8"/>
    <w:rsid w:val="00AF0567"/>
    <w:rsid w:val="00AF56E0"/>
    <w:rsid w:val="00AF575A"/>
    <w:rsid w:val="00AF6144"/>
    <w:rsid w:val="00B046ED"/>
    <w:rsid w:val="00B04B80"/>
    <w:rsid w:val="00B123AD"/>
    <w:rsid w:val="00B15470"/>
    <w:rsid w:val="00B154C0"/>
    <w:rsid w:val="00B20356"/>
    <w:rsid w:val="00B237C4"/>
    <w:rsid w:val="00B3354A"/>
    <w:rsid w:val="00B34577"/>
    <w:rsid w:val="00B347D0"/>
    <w:rsid w:val="00B35236"/>
    <w:rsid w:val="00B35FE2"/>
    <w:rsid w:val="00B40B62"/>
    <w:rsid w:val="00B428DF"/>
    <w:rsid w:val="00B435A3"/>
    <w:rsid w:val="00B44B5C"/>
    <w:rsid w:val="00B50E62"/>
    <w:rsid w:val="00B60F41"/>
    <w:rsid w:val="00B61F35"/>
    <w:rsid w:val="00B66455"/>
    <w:rsid w:val="00B66F8E"/>
    <w:rsid w:val="00B712F0"/>
    <w:rsid w:val="00B74458"/>
    <w:rsid w:val="00B750D4"/>
    <w:rsid w:val="00B80EE7"/>
    <w:rsid w:val="00B83B0C"/>
    <w:rsid w:val="00B9163E"/>
    <w:rsid w:val="00B91CCA"/>
    <w:rsid w:val="00BA0015"/>
    <w:rsid w:val="00BA2BE3"/>
    <w:rsid w:val="00BA305F"/>
    <w:rsid w:val="00BA6C67"/>
    <w:rsid w:val="00BB0997"/>
    <w:rsid w:val="00BB6825"/>
    <w:rsid w:val="00BB6E2C"/>
    <w:rsid w:val="00BC5738"/>
    <w:rsid w:val="00BC67B7"/>
    <w:rsid w:val="00BC7CF8"/>
    <w:rsid w:val="00BD1CAE"/>
    <w:rsid w:val="00BD34B3"/>
    <w:rsid w:val="00BD429A"/>
    <w:rsid w:val="00BD529D"/>
    <w:rsid w:val="00BD6819"/>
    <w:rsid w:val="00BE22E1"/>
    <w:rsid w:val="00BE4CCF"/>
    <w:rsid w:val="00BF2A77"/>
    <w:rsid w:val="00C0311D"/>
    <w:rsid w:val="00C03C45"/>
    <w:rsid w:val="00C03D12"/>
    <w:rsid w:val="00C03D65"/>
    <w:rsid w:val="00C043DB"/>
    <w:rsid w:val="00C11BEF"/>
    <w:rsid w:val="00C17A84"/>
    <w:rsid w:val="00C17BEB"/>
    <w:rsid w:val="00C228AC"/>
    <w:rsid w:val="00C26B67"/>
    <w:rsid w:val="00C310E4"/>
    <w:rsid w:val="00C33886"/>
    <w:rsid w:val="00C354DD"/>
    <w:rsid w:val="00C35647"/>
    <w:rsid w:val="00C37C05"/>
    <w:rsid w:val="00C406C2"/>
    <w:rsid w:val="00C40CA0"/>
    <w:rsid w:val="00C41389"/>
    <w:rsid w:val="00C413DF"/>
    <w:rsid w:val="00C42BF7"/>
    <w:rsid w:val="00C47764"/>
    <w:rsid w:val="00C47E2C"/>
    <w:rsid w:val="00C50392"/>
    <w:rsid w:val="00C5262E"/>
    <w:rsid w:val="00C563EA"/>
    <w:rsid w:val="00C57D75"/>
    <w:rsid w:val="00C57EE7"/>
    <w:rsid w:val="00C6227A"/>
    <w:rsid w:val="00C65A22"/>
    <w:rsid w:val="00C72BB4"/>
    <w:rsid w:val="00C72DDF"/>
    <w:rsid w:val="00C75D1D"/>
    <w:rsid w:val="00C80361"/>
    <w:rsid w:val="00C848FA"/>
    <w:rsid w:val="00C85034"/>
    <w:rsid w:val="00C8593B"/>
    <w:rsid w:val="00C8708B"/>
    <w:rsid w:val="00C90F89"/>
    <w:rsid w:val="00C92B57"/>
    <w:rsid w:val="00C96F08"/>
    <w:rsid w:val="00CA325B"/>
    <w:rsid w:val="00CA7674"/>
    <w:rsid w:val="00CA7DCC"/>
    <w:rsid w:val="00CB6216"/>
    <w:rsid w:val="00CB6289"/>
    <w:rsid w:val="00CC7F36"/>
    <w:rsid w:val="00CD5B7C"/>
    <w:rsid w:val="00CD6D67"/>
    <w:rsid w:val="00CF16FF"/>
    <w:rsid w:val="00CF1DE3"/>
    <w:rsid w:val="00CF45C9"/>
    <w:rsid w:val="00CF4778"/>
    <w:rsid w:val="00CF49E6"/>
    <w:rsid w:val="00CF502C"/>
    <w:rsid w:val="00CF70FF"/>
    <w:rsid w:val="00D023CF"/>
    <w:rsid w:val="00D134C2"/>
    <w:rsid w:val="00D15798"/>
    <w:rsid w:val="00D20A69"/>
    <w:rsid w:val="00D24D46"/>
    <w:rsid w:val="00D25266"/>
    <w:rsid w:val="00D2737A"/>
    <w:rsid w:val="00D30469"/>
    <w:rsid w:val="00D305C4"/>
    <w:rsid w:val="00D3122D"/>
    <w:rsid w:val="00D37A38"/>
    <w:rsid w:val="00D43841"/>
    <w:rsid w:val="00D50835"/>
    <w:rsid w:val="00D51437"/>
    <w:rsid w:val="00D519C3"/>
    <w:rsid w:val="00D71E8B"/>
    <w:rsid w:val="00D812D3"/>
    <w:rsid w:val="00D815CF"/>
    <w:rsid w:val="00D82AB6"/>
    <w:rsid w:val="00D83248"/>
    <w:rsid w:val="00D85F12"/>
    <w:rsid w:val="00D912C7"/>
    <w:rsid w:val="00D96289"/>
    <w:rsid w:val="00D96E1B"/>
    <w:rsid w:val="00D97C81"/>
    <w:rsid w:val="00DA29C9"/>
    <w:rsid w:val="00DA2F79"/>
    <w:rsid w:val="00DB0392"/>
    <w:rsid w:val="00DB108D"/>
    <w:rsid w:val="00DB2AB3"/>
    <w:rsid w:val="00DB3BFA"/>
    <w:rsid w:val="00DB46AC"/>
    <w:rsid w:val="00DB4AD5"/>
    <w:rsid w:val="00DB52C8"/>
    <w:rsid w:val="00DB622F"/>
    <w:rsid w:val="00DB7BB2"/>
    <w:rsid w:val="00DC31E2"/>
    <w:rsid w:val="00DC49C1"/>
    <w:rsid w:val="00DC6585"/>
    <w:rsid w:val="00DC7398"/>
    <w:rsid w:val="00DD0EC2"/>
    <w:rsid w:val="00DD38A5"/>
    <w:rsid w:val="00DD6C3B"/>
    <w:rsid w:val="00DE135B"/>
    <w:rsid w:val="00DE2640"/>
    <w:rsid w:val="00DF1807"/>
    <w:rsid w:val="00DF2A64"/>
    <w:rsid w:val="00DF31F2"/>
    <w:rsid w:val="00DF3C3B"/>
    <w:rsid w:val="00DF3FDE"/>
    <w:rsid w:val="00E00C6F"/>
    <w:rsid w:val="00E00E28"/>
    <w:rsid w:val="00E0316E"/>
    <w:rsid w:val="00E0627D"/>
    <w:rsid w:val="00E07D64"/>
    <w:rsid w:val="00E14CC2"/>
    <w:rsid w:val="00E17783"/>
    <w:rsid w:val="00E20FEF"/>
    <w:rsid w:val="00E26E75"/>
    <w:rsid w:val="00E31E39"/>
    <w:rsid w:val="00E33FF3"/>
    <w:rsid w:val="00E34AEF"/>
    <w:rsid w:val="00E3573B"/>
    <w:rsid w:val="00E40DB4"/>
    <w:rsid w:val="00E40F9B"/>
    <w:rsid w:val="00E4116A"/>
    <w:rsid w:val="00E44328"/>
    <w:rsid w:val="00E504F1"/>
    <w:rsid w:val="00E53819"/>
    <w:rsid w:val="00E57812"/>
    <w:rsid w:val="00E6327E"/>
    <w:rsid w:val="00E63479"/>
    <w:rsid w:val="00E66FD5"/>
    <w:rsid w:val="00E71DC8"/>
    <w:rsid w:val="00E7209D"/>
    <w:rsid w:val="00E729DF"/>
    <w:rsid w:val="00E73BE6"/>
    <w:rsid w:val="00E8035E"/>
    <w:rsid w:val="00E80C92"/>
    <w:rsid w:val="00E81E03"/>
    <w:rsid w:val="00E91857"/>
    <w:rsid w:val="00E932D1"/>
    <w:rsid w:val="00E93CAF"/>
    <w:rsid w:val="00E9465F"/>
    <w:rsid w:val="00E9481B"/>
    <w:rsid w:val="00E96595"/>
    <w:rsid w:val="00EA4421"/>
    <w:rsid w:val="00EC02A3"/>
    <w:rsid w:val="00EC0DAA"/>
    <w:rsid w:val="00EC16A2"/>
    <w:rsid w:val="00EC73C3"/>
    <w:rsid w:val="00ED21D8"/>
    <w:rsid w:val="00ED347B"/>
    <w:rsid w:val="00ED454A"/>
    <w:rsid w:val="00ED7F85"/>
    <w:rsid w:val="00EE09AF"/>
    <w:rsid w:val="00EE15D1"/>
    <w:rsid w:val="00EE26D6"/>
    <w:rsid w:val="00EE399C"/>
    <w:rsid w:val="00EE5856"/>
    <w:rsid w:val="00EE606D"/>
    <w:rsid w:val="00EE65C8"/>
    <w:rsid w:val="00EF380B"/>
    <w:rsid w:val="00EF4A4A"/>
    <w:rsid w:val="00EF6163"/>
    <w:rsid w:val="00EF6E28"/>
    <w:rsid w:val="00EF7DB6"/>
    <w:rsid w:val="00F0168C"/>
    <w:rsid w:val="00F02CD5"/>
    <w:rsid w:val="00F05F0D"/>
    <w:rsid w:val="00F10A2F"/>
    <w:rsid w:val="00F12D49"/>
    <w:rsid w:val="00F13378"/>
    <w:rsid w:val="00F22A4B"/>
    <w:rsid w:val="00F2368F"/>
    <w:rsid w:val="00F262F6"/>
    <w:rsid w:val="00F273B1"/>
    <w:rsid w:val="00F27D9D"/>
    <w:rsid w:val="00F305E9"/>
    <w:rsid w:val="00F321FD"/>
    <w:rsid w:val="00F53DC9"/>
    <w:rsid w:val="00F56DF9"/>
    <w:rsid w:val="00F7043C"/>
    <w:rsid w:val="00F75485"/>
    <w:rsid w:val="00F76084"/>
    <w:rsid w:val="00F771A7"/>
    <w:rsid w:val="00F778BD"/>
    <w:rsid w:val="00F779E4"/>
    <w:rsid w:val="00F81CA3"/>
    <w:rsid w:val="00F8381D"/>
    <w:rsid w:val="00F84FB7"/>
    <w:rsid w:val="00F85CC1"/>
    <w:rsid w:val="00F92BF8"/>
    <w:rsid w:val="00FB1DC0"/>
    <w:rsid w:val="00FC66A2"/>
    <w:rsid w:val="00FD2216"/>
    <w:rsid w:val="00FD66F6"/>
    <w:rsid w:val="00FE2FB1"/>
    <w:rsid w:val="00FE50EA"/>
    <w:rsid w:val="00FF0746"/>
    <w:rsid w:val="00FF0F0E"/>
    <w:rsid w:val="FC8EA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黑体" w:hAnsi="Times New Roman" w:eastAsia="黑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outlineLvl w:val="2"/>
    </w:pPr>
    <w:rPr>
      <w:rFonts w:ascii="黑体" w:hAnsi="Times New Roman" w:eastAsia="黑体" w:cs="Times New Roman"/>
      <w:sz w:val="21"/>
      <w:szCs w:val="21"/>
      <w:lang w:val="en-US" w:eastAsia="zh-CN" w:bidi="ar-SA"/>
    </w:rPr>
  </w:style>
  <w:style w:type="paragraph" w:styleId="2">
    <w:name w:val="heading 1"/>
    <w:basedOn w:val="1"/>
    <w:next w:val="1"/>
    <w:link w:val="34"/>
    <w:qFormat/>
    <w:uiPriority w:val="9"/>
    <w:pPr>
      <w:spacing w:beforeLines="50" w:afterLines="20"/>
      <w:outlineLvl w:val="0"/>
    </w:pPr>
    <w:rPr>
      <w:b/>
      <w:bCs/>
    </w:rPr>
  </w:style>
  <w:style w:type="paragraph" w:styleId="3">
    <w:name w:val="heading 2"/>
    <w:basedOn w:val="1"/>
    <w:next w:val="1"/>
    <w:link w:val="41"/>
    <w:unhideWhenUsed/>
    <w:qFormat/>
    <w:uiPriority w:val="9"/>
    <w:pPr>
      <w:outlineLvl w:val="1"/>
    </w:pPr>
    <w:rPr>
      <w:rFonts w:hAnsi="黑体"/>
    </w:rPr>
  </w:style>
  <w:style w:type="paragraph" w:styleId="4">
    <w:name w:val="heading 3"/>
    <w:basedOn w:val="1"/>
    <w:next w:val="1"/>
    <w:link w:val="36"/>
    <w:semiHidden/>
    <w:unhideWhenUsed/>
    <w:qFormat/>
    <w:uiPriority w:val="9"/>
    <w:pPr>
      <w:keepNext/>
      <w:keepLines/>
      <w:spacing w:before="260" w:after="260" w:line="416" w:lineRule="auto"/>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pPr>
    <w:rPr>
      <w:rFonts w:asciiTheme="minorHAnsi" w:hAnsiTheme="minorHAnsi"/>
      <w:sz w:val="18"/>
      <w:szCs w:val="18"/>
    </w:rPr>
  </w:style>
  <w:style w:type="paragraph" w:styleId="6">
    <w:name w:val="caption"/>
    <w:basedOn w:val="1"/>
    <w:next w:val="1"/>
    <w:unhideWhenUsed/>
    <w:qFormat/>
    <w:uiPriority w:val="35"/>
    <w:pPr>
      <w:widowControl w:val="0"/>
      <w:adjustRightInd/>
      <w:snapToGrid/>
      <w:spacing w:line="240" w:lineRule="auto"/>
      <w:jc w:val="both"/>
      <w:outlineLvl w:val="9"/>
    </w:pPr>
    <w:rPr>
      <w:rFonts w:asciiTheme="majorHAnsi" w:hAnsiTheme="majorHAnsi" w:cstheme="majorBidi"/>
      <w:sz w:val="20"/>
      <w:szCs w:val="20"/>
    </w:rPr>
  </w:style>
  <w:style w:type="paragraph" w:styleId="7">
    <w:name w:val="Document Map"/>
    <w:basedOn w:val="1"/>
    <w:link w:val="45"/>
    <w:semiHidden/>
    <w:unhideWhenUsed/>
    <w:qFormat/>
    <w:uiPriority w:val="99"/>
    <w:rPr>
      <w:rFonts w:ascii="宋体" w:eastAsia="宋体"/>
      <w:sz w:val="18"/>
      <w:szCs w:val="18"/>
    </w:rPr>
  </w:style>
  <w:style w:type="paragraph" w:styleId="8">
    <w:name w:val="toc 5"/>
    <w:basedOn w:val="1"/>
    <w:next w:val="1"/>
    <w:unhideWhenUsed/>
    <w:qFormat/>
    <w:uiPriority w:val="39"/>
    <w:pPr>
      <w:ind w:left="840"/>
    </w:pPr>
    <w:rPr>
      <w:rFonts w:asciiTheme="minorHAnsi" w:hAnsiTheme="minorHAnsi"/>
      <w:sz w:val="18"/>
      <w:szCs w:val="18"/>
    </w:rPr>
  </w:style>
  <w:style w:type="paragraph" w:styleId="9">
    <w:name w:val="toc 3"/>
    <w:basedOn w:val="1"/>
    <w:next w:val="1"/>
    <w:unhideWhenUsed/>
    <w:qFormat/>
    <w:uiPriority w:val="39"/>
    <w:pPr>
      <w:ind w:left="420"/>
    </w:pPr>
    <w:rPr>
      <w:rFonts w:asciiTheme="minorHAnsi" w:hAnsiTheme="minorHAnsi"/>
      <w:i/>
      <w:iCs/>
      <w:sz w:val="20"/>
      <w:szCs w:val="20"/>
    </w:rPr>
  </w:style>
  <w:style w:type="paragraph" w:styleId="10">
    <w:name w:val="toc 8"/>
    <w:basedOn w:val="1"/>
    <w:next w:val="1"/>
    <w:unhideWhenUsed/>
    <w:qFormat/>
    <w:uiPriority w:val="39"/>
    <w:pPr>
      <w:ind w:left="1470"/>
    </w:pPr>
    <w:rPr>
      <w:rFonts w:asciiTheme="minorHAnsi" w:hAnsiTheme="minorHAnsi"/>
      <w:sz w:val="18"/>
      <w:szCs w:val="18"/>
    </w:rPr>
  </w:style>
  <w:style w:type="paragraph" w:styleId="11">
    <w:name w:val="Date"/>
    <w:basedOn w:val="1"/>
    <w:next w:val="1"/>
    <w:link w:val="38"/>
    <w:semiHidden/>
    <w:unhideWhenUsed/>
    <w:qFormat/>
    <w:uiPriority w:val="99"/>
    <w:pPr>
      <w:ind w:left="100" w:leftChars="2500"/>
    </w:pPr>
  </w:style>
  <w:style w:type="paragraph" w:styleId="12">
    <w:name w:val="Balloon Text"/>
    <w:basedOn w:val="1"/>
    <w:link w:val="46"/>
    <w:semiHidden/>
    <w:unhideWhenUsed/>
    <w:qFormat/>
    <w:uiPriority w:val="99"/>
    <w:pPr>
      <w:spacing w:line="240" w:lineRule="auto"/>
    </w:pPr>
    <w:rPr>
      <w:sz w:val="18"/>
      <w:szCs w:val="18"/>
    </w:rPr>
  </w:style>
  <w:style w:type="paragraph" w:styleId="13">
    <w:name w:val="footer"/>
    <w:basedOn w:val="1"/>
    <w:link w:val="25"/>
    <w:unhideWhenUsed/>
    <w:qFormat/>
    <w:uiPriority w:val="99"/>
    <w:pPr>
      <w:tabs>
        <w:tab w:val="center" w:pos="4153"/>
        <w:tab w:val="right" w:pos="8306"/>
      </w:tabs>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unhideWhenUsed/>
    <w:qFormat/>
    <w:uiPriority w:val="39"/>
    <w:pPr>
      <w:spacing w:before="120" w:after="120"/>
    </w:pPr>
    <w:rPr>
      <w:rFonts w:asciiTheme="minorHAnsi" w:hAnsiTheme="minorHAnsi"/>
      <w:b/>
      <w:bCs/>
      <w:caps/>
      <w:sz w:val="20"/>
      <w:szCs w:val="20"/>
    </w:rPr>
  </w:style>
  <w:style w:type="paragraph" w:styleId="16">
    <w:name w:val="toc 4"/>
    <w:basedOn w:val="1"/>
    <w:next w:val="1"/>
    <w:unhideWhenUsed/>
    <w:qFormat/>
    <w:uiPriority w:val="39"/>
    <w:pPr>
      <w:ind w:left="630"/>
    </w:pPr>
    <w:rPr>
      <w:rFonts w:asciiTheme="minorHAnsi" w:hAnsiTheme="minorHAnsi"/>
      <w:sz w:val="18"/>
      <w:szCs w:val="18"/>
    </w:rPr>
  </w:style>
  <w:style w:type="paragraph" w:styleId="17">
    <w:name w:val="toc 6"/>
    <w:basedOn w:val="1"/>
    <w:next w:val="1"/>
    <w:unhideWhenUsed/>
    <w:qFormat/>
    <w:uiPriority w:val="39"/>
    <w:pPr>
      <w:ind w:left="1050"/>
    </w:pPr>
    <w:rPr>
      <w:rFonts w:asciiTheme="minorHAnsi" w:hAnsiTheme="minorHAnsi"/>
      <w:sz w:val="18"/>
      <w:szCs w:val="18"/>
    </w:rPr>
  </w:style>
  <w:style w:type="paragraph" w:styleId="18">
    <w:name w:val="toc 2"/>
    <w:basedOn w:val="1"/>
    <w:next w:val="1"/>
    <w:unhideWhenUsed/>
    <w:qFormat/>
    <w:uiPriority w:val="39"/>
    <w:pPr>
      <w:tabs>
        <w:tab w:val="right" w:leader="dot" w:pos="8296"/>
      </w:tabs>
      <w:spacing w:line="480" w:lineRule="auto"/>
      <w:ind w:left="210"/>
    </w:pPr>
    <w:rPr>
      <w:rFonts w:asciiTheme="minorHAnsi" w:hAnsiTheme="minorHAnsi"/>
      <w:smallCaps/>
      <w:sz w:val="20"/>
      <w:szCs w:val="20"/>
    </w:rPr>
  </w:style>
  <w:style w:type="paragraph" w:styleId="19">
    <w:name w:val="toc 9"/>
    <w:basedOn w:val="1"/>
    <w:next w:val="1"/>
    <w:unhideWhenUsed/>
    <w:qFormat/>
    <w:uiPriority w:val="39"/>
    <w:pPr>
      <w:ind w:left="1680"/>
    </w:pPr>
    <w:rPr>
      <w:rFonts w:asciiTheme="minorHAnsi" w:hAnsiTheme="minorHAnsi"/>
      <w:sz w:val="18"/>
      <w:szCs w:val="18"/>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customStyle="1" w:styleId="24">
    <w:name w:val="页眉 字符"/>
    <w:basedOn w:val="22"/>
    <w:link w:val="14"/>
    <w:qFormat/>
    <w:uiPriority w:val="99"/>
    <w:rPr>
      <w:sz w:val="18"/>
      <w:szCs w:val="18"/>
    </w:rPr>
  </w:style>
  <w:style w:type="character" w:customStyle="1" w:styleId="25">
    <w:name w:val="页脚 字符"/>
    <w:basedOn w:val="22"/>
    <w:link w:val="13"/>
    <w:qFormat/>
    <w:uiPriority w:val="99"/>
    <w:rPr>
      <w:sz w:val="18"/>
      <w:szCs w:val="18"/>
    </w:rPr>
  </w:style>
  <w:style w:type="character" w:customStyle="1" w:styleId="26">
    <w:name w:val="段 Char"/>
    <w:link w:val="27"/>
    <w:qFormat/>
    <w:locked/>
    <w:uiPriority w:val="0"/>
    <w:rPr>
      <w:rFonts w:ascii="宋体" w:hAnsi="宋体" w:eastAsia="宋体"/>
    </w:rPr>
  </w:style>
  <w:style w:type="paragraph" w:customStyle="1" w:styleId="27">
    <w:name w:val="段"/>
    <w:link w:val="26"/>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szCs w:val="21"/>
      <w:lang w:val="en-US" w:eastAsia="zh-CN" w:bidi="ar-SA"/>
    </w:rPr>
  </w:style>
  <w:style w:type="paragraph" w:customStyle="1" w:styleId="28">
    <w:name w:val="一级条标题"/>
    <w:next w:val="27"/>
    <w:link w:val="35"/>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29">
    <w:name w:val="章标题"/>
    <w:next w:val="27"/>
    <w:qFormat/>
    <w:uiPriority w:val="0"/>
    <w:pPr>
      <w:spacing w:beforeLines="100" w:afterLines="100"/>
      <w:jc w:val="both"/>
      <w:outlineLvl w:val="1"/>
    </w:pPr>
    <w:rPr>
      <w:rFonts w:ascii="黑体" w:hAnsi="Times New Roman" w:eastAsia="黑体" w:cs="Times New Roman"/>
      <w:sz w:val="21"/>
      <w:szCs w:val="20"/>
      <w:lang w:val="en-US" w:eastAsia="zh-CN" w:bidi="ar-SA"/>
    </w:rPr>
  </w:style>
  <w:style w:type="paragraph" w:customStyle="1" w:styleId="30">
    <w:name w:val="二级条标题"/>
    <w:basedOn w:val="28"/>
    <w:next w:val="27"/>
    <w:qFormat/>
    <w:uiPriority w:val="0"/>
    <w:pPr>
      <w:ind w:left="284"/>
      <w:outlineLvl w:val="3"/>
    </w:pPr>
  </w:style>
  <w:style w:type="paragraph" w:customStyle="1" w:styleId="31">
    <w:name w:val="四级条标题"/>
    <w:basedOn w:val="1"/>
    <w:next w:val="27"/>
    <w:qFormat/>
    <w:uiPriority w:val="0"/>
    <w:pPr>
      <w:spacing w:beforeLines="50" w:afterLines="50"/>
      <w:outlineLvl w:val="5"/>
    </w:pPr>
  </w:style>
  <w:style w:type="paragraph" w:customStyle="1" w:styleId="32">
    <w:name w:val="五级条标题"/>
    <w:basedOn w:val="31"/>
    <w:next w:val="27"/>
    <w:qFormat/>
    <w:uiPriority w:val="0"/>
    <w:pPr>
      <w:outlineLvl w:val="6"/>
    </w:pPr>
  </w:style>
  <w:style w:type="paragraph" w:styleId="33">
    <w:name w:val="List Paragraph"/>
    <w:basedOn w:val="1"/>
    <w:qFormat/>
    <w:uiPriority w:val="34"/>
    <w:pPr>
      <w:ind w:firstLine="420" w:firstLineChars="200"/>
    </w:pPr>
  </w:style>
  <w:style w:type="character" w:customStyle="1" w:styleId="34">
    <w:name w:val="标题 1 字符"/>
    <w:basedOn w:val="22"/>
    <w:link w:val="2"/>
    <w:qFormat/>
    <w:uiPriority w:val="9"/>
    <w:rPr>
      <w:rFonts w:ascii="Times New Roman" w:hAnsi="Times New Roman" w:eastAsia="黑体" w:cs="Times New Roman"/>
      <w:b/>
      <w:bCs/>
      <w:sz w:val="28"/>
      <w:szCs w:val="28"/>
    </w:rPr>
  </w:style>
  <w:style w:type="character" w:customStyle="1" w:styleId="35">
    <w:name w:val="一级条标题 Char"/>
    <w:link w:val="28"/>
    <w:qFormat/>
    <w:locked/>
    <w:uiPriority w:val="0"/>
    <w:rPr>
      <w:rFonts w:ascii="黑体" w:hAnsi="Times New Roman" w:eastAsia="黑体" w:cs="Times New Roman"/>
      <w:kern w:val="0"/>
      <w:szCs w:val="21"/>
    </w:rPr>
  </w:style>
  <w:style w:type="character" w:customStyle="1" w:styleId="36">
    <w:name w:val="标题 3 字符"/>
    <w:basedOn w:val="22"/>
    <w:link w:val="4"/>
    <w:semiHidden/>
    <w:qFormat/>
    <w:uiPriority w:val="9"/>
    <w:rPr>
      <w:b/>
      <w:bCs/>
      <w:sz w:val="32"/>
      <w:szCs w:val="32"/>
    </w:rPr>
  </w:style>
  <w:style w:type="character" w:customStyle="1" w:styleId="37">
    <w:name w:val="en-code"/>
    <w:basedOn w:val="22"/>
    <w:qFormat/>
    <w:uiPriority w:val="0"/>
  </w:style>
  <w:style w:type="character" w:customStyle="1" w:styleId="38">
    <w:name w:val="日期 字符"/>
    <w:basedOn w:val="22"/>
    <w:link w:val="11"/>
    <w:semiHidden/>
    <w:qFormat/>
    <w:uiPriority w:val="99"/>
  </w:style>
  <w:style w:type="paragraph" w:customStyle="1" w:styleId="39">
    <w:name w:val="示例"/>
    <w:next w:val="1"/>
    <w:qFormat/>
    <w:uiPriority w:val="0"/>
    <w:pPr>
      <w:widowControl w:val="0"/>
      <w:numPr>
        <w:ilvl w:val="0"/>
        <w:numId w:val="1"/>
      </w:numPr>
      <w:jc w:val="both"/>
    </w:pPr>
    <w:rPr>
      <w:rFonts w:ascii="宋体" w:hAnsi="Times New Roman" w:eastAsia="宋体" w:cs="Times New Roman"/>
      <w:sz w:val="18"/>
      <w:szCs w:val="18"/>
      <w:lang w:val="en-US" w:eastAsia="zh-CN" w:bidi="ar-SA"/>
    </w:rPr>
  </w:style>
  <w:style w:type="paragraph" w:customStyle="1" w:styleId="40">
    <w:name w:val="正文图标题"/>
    <w:next w:val="27"/>
    <w:qFormat/>
    <w:uiPriority w:val="0"/>
    <w:pPr>
      <w:numPr>
        <w:ilvl w:val="0"/>
        <w:numId w:val="2"/>
      </w:numPr>
      <w:spacing w:beforeLines="50" w:afterLines="50"/>
      <w:jc w:val="center"/>
    </w:pPr>
    <w:rPr>
      <w:rFonts w:ascii="黑体" w:hAnsi="Times New Roman" w:eastAsia="黑体" w:cs="Times New Roman"/>
      <w:sz w:val="21"/>
      <w:szCs w:val="20"/>
      <w:lang w:val="en-US" w:eastAsia="zh-CN" w:bidi="ar-SA"/>
    </w:rPr>
  </w:style>
  <w:style w:type="character" w:customStyle="1" w:styleId="41">
    <w:name w:val="标题 2 字符"/>
    <w:basedOn w:val="22"/>
    <w:link w:val="3"/>
    <w:qFormat/>
    <w:uiPriority w:val="9"/>
    <w:rPr>
      <w:rFonts w:ascii="黑体" w:hAnsi="黑体" w:eastAsia="黑体" w:cs="Times New Roman"/>
      <w:sz w:val="28"/>
      <w:szCs w:val="28"/>
    </w:rPr>
  </w:style>
  <w:style w:type="paragraph" w:customStyle="1" w:styleId="42">
    <w:name w:val="前言、引言标题"/>
    <w:next w:val="27"/>
    <w:qFormat/>
    <w:uiPriority w:val="0"/>
    <w:pPr>
      <w:keepNext/>
      <w:pageBreakBefore/>
      <w:shd w:val="clear" w:color="FFFFFF" w:fill="FFFFFF"/>
      <w:spacing w:before="640" w:after="560"/>
      <w:jc w:val="center"/>
      <w:outlineLvl w:val="0"/>
    </w:pPr>
    <w:rPr>
      <w:rFonts w:ascii="黑体" w:hAnsi="Times New Roman" w:eastAsia="黑体" w:cs="Times New Roman"/>
      <w:sz w:val="32"/>
      <w:szCs w:val="20"/>
      <w:lang w:val="en-US" w:eastAsia="zh-CN" w:bidi="ar-SA"/>
    </w:rPr>
  </w:style>
  <w:style w:type="paragraph" w:customStyle="1" w:styleId="43">
    <w:name w:val="目次、标准名称标题"/>
    <w:basedOn w:val="1"/>
    <w:next w:val="27"/>
    <w:qFormat/>
    <w:uiPriority w:val="0"/>
    <w:pPr>
      <w:keepNext/>
      <w:pageBreakBefore/>
      <w:shd w:val="clear" w:color="FFFFFF" w:fill="FFFFFF"/>
      <w:adjustRightInd/>
      <w:snapToGrid/>
      <w:spacing w:before="640" w:after="560" w:line="460" w:lineRule="exact"/>
      <w:jc w:val="center"/>
      <w:outlineLvl w:val="0"/>
    </w:pPr>
    <w:rPr>
      <w:sz w:val="32"/>
      <w:szCs w:val="20"/>
    </w:rPr>
  </w:style>
  <w:style w:type="paragraph" w:customStyle="1" w:styleId="44">
    <w:name w:val="二级无"/>
    <w:basedOn w:val="30"/>
    <w:qFormat/>
    <w:uiPriority w:val="0"/>
    <w:pPr>
      <w:spacing w:beforeLines="0" w:afterLines="0"/>
    </w:pPr>
    <w:rPr>
      <w:rFonts w:ascii="宋体" w:eastAsia="宋体"/>
    </w:rPr>
  </w:style>
  <w:style w:type="character" w:customStyle="1" w:styleId="45">
    <w:name w:val="文档结构图 字符"/>
    <w:basedOn w:val="22"/>
    <w:link w:val="7"/>
    <w:semiHidden/>
    <w:qFormat/>
    <w:uiPriority w:val="99"/>
    <w:rPr>
      <w:rFonts w:ascii="宋体" w:hAnsi="Times New Roman" w:eastAsia="宋体" w:cs="Times New Roman"/>
      <w:sz w:val="18"/>
      <w:szCs w:val="18"/>
    </w:rPr>
  </w:style>
  <w:style w:type="character" w:customStyle="1" w:styleId="46">
    <w:name w:val="批注框文本 字符"/>
    <w:basedOn w:val="22"/>
    <w:link w:val="12"/>
    <w:semiHidden/>
    <w:qFormat/>
    <w:uiPriority w:val="99"/>
    <w:rPr>
      <w:rFonts w:ascii="Times New Roman" w:hAnsi="Times New Roman" w:eastAsia="仿宋" w:cs="Times New Roman"/>
      <w:sz w:val="18"/>
      <w:szCs w:val="18"/>
    </w:rPr>
  </w:style>
  <w:style w:type="paragraph" w:customStyle="1" w:styleId="47">
    <w:name w:val="TOC Heading"/>
    <w:basedOn w:val="2"/>
    <w:next w:val="1"/>
    <w:unhideWhenUsed/>
    <w:qFormat/>
    <w:uiPriority w:val="39"/>
    <w:pPr>
      <w:keepNext/>
      <w:keepLines/>
      <w:adjustRightInd/>
      <w:snapToGrid/>
      <w:spacing w:before="240" w:beforeLines="0" w:afterLines="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48">
    <w:name w:val="Revision"/>
    <w:hidden/>
    <w:semiHidden/>
    <w:qFormat/>
    <w:uiPriority w:val="99"/>
    <w:rPr>
      <w:rFonts w:ascii="Times New Roman" w:hAnsi="Times New Roman" w:eastAsia="仿宋" w:cs="Times New Roman"/>
      <w:sz w:val="28"/>
      <w:szCs w:val="28"/>
      <w:lang w:val="en-US" w:eastAsia="zh-CN" w:bidi="ar-SA"/>
    </w:rPr>
  </w:style>
  <w:style w:type="table" w:customStyle="1" w:styleId="49">
    <w:name w:val="网格型1"/>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0">
    <w:name w:val="网格型2"/>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网格型3"/>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
    <w:name w:val="网格型4"/>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11"/>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4">
    <w:name w:val="网格型21"/>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
    <w:name w:val="网格型31"/>
    <w:basedOn w:val="20"/>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4278</Words>
  <Characters>24390</Characters>
  <Lines>203</Lines>
  <Paragraphs>57</Paragraphs>
  <TotalTime>79</TotalTime>
  <ScaleCrop>false</ScaleCrop>
  <LinksUpToDate>false</LinksUpToDate>
  <CharactersWithSpaces>28611</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2022-10-11T09:50:00Z</dcterms:created>
  <dc:creator>师建芳</dc:creator>
  <cp:lastModifiedBy>caoxiangcai</cp:lastModifiedBy>
  <cp:lastPrinted>2022-10-11T18:57:00Z</cp:lastPrinted>
  <dcterms:modified xsi:type="dcterms:W3CDTF">2022-10-13T18:15:15Z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