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7"/>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type="linesAndChars" w:linePitch="312" w:charSpace="0"/>
        </w:sectPr>
      </w:pPr>
      <w: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1996440</wp:posOffset>
                </wp:positionV>
                <wp:extent cx="6121400" cy="0"/>
                <wp:effectExtent l="0" t="0" r="12700" b="0"/>
                <wp:wrapNone/>
                <wp:docPr id="10" name="Line 10"/>
                <wp:cNvGraphicFramePr/>
                <a:graphic xmlns:a="http://schemas.openxmlformats.org/drawingml/2006/main">
                  <a:graphicData uri="http://schemas.microsoft.com/office/word/2010/wordprocessingShape">
                    <wps:wsp>
                      <wps:cNvCnPr>
                        <a:cxnSpLocks noChangeShapeType="true"/>
                      </wps:cNvCnPr>
                      <wps:spPr bwMode="auto">
                        <a:xfrm>
                          <a:off x="0" y="0"/>
                          <a:ext cx="6121400" cy="0"/>
                        </a:xfrm>
                        <a:prstGeom prst="line">
                          <a:avLst/>
                        </a:prstGeom>
                        <a:noFill/>
                        <a:ln w="12700">
                          <a:solidFill>
                            <a:srgbClr val="000000"/>
                          </a:solidFill>
                          <a:round/>
                        </a:ln>
                      </wps:spPr>
                      <wps:bodyPr/>
                    </wps:wsp>
                  </a:graphicData>
                </a:graphic>
              </wp:anchor>
            </w:drawing>
          </mc:Choice>
          <mc:Fallback>
            <w:pict>
              <v:line id="Line 10" o:spid="_x0000_s1026" o:spt="20" style="position:absolute;left:0pt;margin-left:0pt;margin-top:157.2pt;height:0pt;width:482pt;z-index:251681792;mso-width-relative:page;mso-height-relative:page;" filled="f" stroked="t" coordsize="21600,21600" o:gfxdata="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WuTYHdYAAAAIAQAADwAAAAAAAAABACAAAAA4AAAAZHJzL2Rvd25yZXYu&#10;eG1sUEsBAhQAFAAAAAgAh07iQCnfg2iuAQAAVwMAAA4AAAAAAAAAAQAgAAAAOwEAAGRycy9lMm9E&#10;b2MueG1sUEsFBgAAAAAGAAYAWQEAAFsFAAAAAA==&#10;">
                <v:fill on="f" focussize="0,0"/>
                <v:stroke weight="1pt" color="#000000" joinstyle="round"/>
                <v:imagedata o:title=""/>
                <o:lock v:ext="edit" aspectratio="f"/>
              </v:line>
            </w:pict>
          </mc:Fallback>
        </mc:AlternateContent>
      </w:r>
      <w:r>
        <w:rPr>
          <w:rFonts w:hint="eastAsia"/>
        </w:rPr>
        <w:t>分布在3个主要使用（销售）区域</w:t>
      </w:r>
      <w: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8889365</wp:posOffset>
                </wp:positionV>
                <wp:extent cx="6121400" cy="0"/>
                <wp:effectExtent l="0" t="0" r="12700" b="0"/>
                <wp:wrapNone/>
                <wp:docPr id="11" name="Line 11"/>
                <wp:cNvGraphicFramePr/>
                <a:graphic xmlns:a="http://schemas.openxmlformats.org/drawingml/2006/main">
                  <a:graphicData uri="http://schemas.microsoft.com/office/word/2010/wordprocessingShape">
                    <wps:wsp>
                      <wps:cNvCnPr>
                        <a:cxnSpLocks noChangeShapeType="true"/>
                      </wps:cNvCnPr>
                      <wps:spPr bwMode="auto">
                        <a:xfrm>
                          <a:off x="0" y="0"/>
                          <a:ext cx="6121400" cy="0"/>
                        </a:xfrm>
                        <a:prstGeom prst="line">
                          <a:avLst/>
                        </a:prstGeom>
                        <a:noFill/>
                        <a:ln w="12700">
                          <a:solidFill>
                            <a:srgbClr val="000000"/>
                          </a:solidFill>
                          <a:round/>
                        </a:ln>
                      </wps:spPr>
                      <wps:bodyPr/>
                    </wps:wsp>
                  </a:graphicData>
                </a:graphic>
              </wp:anchor>
            </w:drawing>
          </mc:Choice>
          <mc:Fallback>
            <w:pict>
              <v:line id="Line 11" o:spid="_x0000_s1026" o:spt="20" style="position:absolute;left:0pt;margin-left:0pt;margin-top:699.95pt;height:0pt;width:482pt;z-index:251687936;mso-width-relative:page;mso-height-relative:page;" filled="f" stroked="t" coordsize="21600,21600" o:gfxdata="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TbYJStYAAAAKAQAADwAAAAAAAAABACAAAAA4AAAAZHJzL2Rvd25yZXYu&#10;eG1sUEsBAhQAFAAAAAgAh07iQJEojPiuAQAAVwMAAA4AAAAAAAAAAQAgAAAAOwEAAGRycy9lMm9E&#10;b2MueG1sUEsFBgAAAAAGAAYAWQEAAFsFA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75648" behindDoc="0" locked="1" layoutInCell="1" allowOverlap="1">
                <wp:simplePos x="0" y="0"/>
                <wp:positionH relativeFrom="margin">
                  <wp:posOffset>0</wp:posOffset>
                </wp:positionH>
                <wp:positionV relativeFrom="margin">
                  <wp:posOffset>9108440</wp:posOffset>
                </wp:positionV>
                <wp:extent cx="6120130" cy="363220"/>
                <wp:effectExtent l="0" t="0" r="0" b="0"/>
                <wp:wrapNone/>
                <wp:docPr id="9" name="fmFrame7"/>
                <wp:cNvGraphicFramePr/>
                <a:graphic xmlns:a="http://schemas.openxmlformats.org/drawingml/2006/main">
                  <a:graphicData uri="http://schemas.microsoft.com/office/word/2010/wordprocessingShape">
                    <wps:wsp>
                      <wps:cNvSpPr txBox="true">
                        <a:spLocks noChangeArrowheads="true"/>
                      </wps:cNvSpPr>
                      <wps:spPr bwMode="auto">
                        <a:xfrm>
                          <a:off x="0" y="0"/>
                          <a:ext cx="6120130" cy="363220"/>
                        </a:xfrm>
                        <a:prstGeom prst="rect">
                          <a:avLst/>
                        </a:prstGeom>
                        <a:solidFill>
                          <a:srgbClr val="FFFFFF"/>
                        </a:solidFill>
                        <a:ln>
                          <a:noFill/>
                        </a:ln>
                      </wps:spPr>
                      <wps:txbx>
                        <w:txbxContent>
                          <w:p>
                            <w:pPr>
                              <w:pStyle w:val="78"/>
                            </w:pPr>
                            <w:r>
                              <w:rPr>
                                <w:rFonts w:hint="eastAsia" w:hAnsi="黑体" w:cs="黑体"/>
                                <w:spacing w:val="23"/>
                                <w:sz w:val="32"/>
                                <w:szCs w:val="32"/>
                              </w:rPr>
                              <w:t>上海市</w:t>
                            </w:r>
                            <w:r>
                              <w:rPr>
                                <w:rFonts w:hAnsi="黑体" w:cs="黑体"/>
                                <w:spacing w:val="23"/>
                                <w:sz w:val="32"/>
                                <w:szCs w:val="32"/>
                              </w:rPr>
                              <w:t>农业</w:t>
                            </w:r>
                            <w:r>
                              <w:rPr>
                                <w:rFonts w:hint="eastAsia" w:hAnsi="黑体" w:cs="黑体"/>
                                <w:spacing w:val="23"/>
                                <w:sz w:val="32"/>
                                <w:szCs w:val="32"/>
                              </w:rPr>
                              <w:t>农村委员会</w:t>
                            </w:r>
                            <w:r>
                              <w:rPr>
                                <w:rFonts w:hint="eastAsia"/>
                                <w:sz w:val="32"/>
                              </w:rPr>
                              <w:t xml:space="preserve">  </w:t>
                            </w:r>
                            <w:r>
                              <w:rPr>
                                <w:rFonts w:hint="eastAsia"/>
                                <w:sz w:val="28"/>
                                <w:szCs w:val="28"/>
                              </w:rPr>
                              <w:t>发布</w:t>
                            </w:r>
                          </w:p>
                        </w:txbxContent>
                      </wps:txbx>
                      <wps:bodyPr rot="0" vert="horz" wrap="square" lIns="0" tIns="0" rIns="0" bIns="0" anchor="t" anchorCtr="false" upright="true">
                        <a:noAutofit/>
                      </wps:bodyPr>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75648;mso-width-relative:page;mso-height-relative:page;" fillcolor="#FFFFFF" filled="t" stroked="f" coordsize="21600,21600" o:gfxdata="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iVYG69gAAAAKAQAADwAAAAAAAAAB&#10;ACAAAAA4AAAAZHJzL2Rvd25yZXYueG1sUEsBAhQAFAAAAAgAh07iQAYwyYL6AQAA6gMAAA4AAAAA&#10;AAAAAQAgAAAAPQEAAGRycy9lMm9Eb2MueG1sUEsFBgAAAAAGAAYAWQEAAKkFAAAAAA==&#10;">
                <v:fill on="t" focussize="0,0"/>
                <v:stroke on="f"/>
                <v:imagedata o:title=""/>
                <o:lock v:ext="edit" aspectratio="f"/>
                <v:textbox inset="0mm,0mm,0mm,0mm">
                  <w:txbxContent>
                    <w:p>
                      <w:pPr>
                        <w:pStyle w:val="78"/>
                      </w:pPr>
                      <w:r>
                        <w:rPr>
                          <w:rFonts w:hint="eastAsia" w:hAnsi="黑体" w:cs="黑体"/>
                          <w:spacing w:val="23"/>
                          <w:sz w:val="32"/>
                          <w:szCs w:val="32"/>
                        </w:rPr>
                        <w:t>上海市</w:t>
                      </w:r>
                      <w:r>
                        <w:rPr>
                          <w:rFonts w:hAnsi="黑体" w:cs="黑体"/>
                          <w:spacing w:val="23"/>
                          <w:sz w:val="32"/>
                          <w:szCs w:val="32"/>
                        </w:rPr>
                        <w:t>农业</w:t>
                      </w:r>
                      <w:r>
                        <w:rPr>
                          <w:rFonts w:hint="eastAsia" w:hAnsi="黑体" w:cs="黑体"/>
                          <w:spacing w:val="23"/>
                          <w:sz w:val="32"/>
                          <w:szCs w:val="32"/>
                        </w:rPr>
                        <w:t>农村委员会</w:t>
                      </w:r>
                      <w:r>
                        <w:rPr>
                          <w:rFonts w:hint="eastAsia"/>
                          <w:sz w:val="32"/>
                        </w:rPr>
                        <w:t xml:space="preserve">  </w:t>
                      </w:r>
                      <w:r>
                        <w:rPr>
                          <w:rFonts w:hint="eastAsia"/>
                          <w:sz w:val="28"/>
                          <w:szCs w:val="28"/>
                        </w:rPr>
                        <w:t>发布</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8" name="fmFrame6"/>
                <wp:cNvGraphicFramePr/>
                <a:graphic xmlns:a="http://schemas.openxmlformats.org/drawingml/2006/main">
                  <a:graphicData uri="http://schemas.microsoft.com/office/word/2010/wordprocessingShape">
                    <wps:wsp>
                      <wps:cNvSpPr txBox="true">
                        <a:spLocks noChangeArrowheads="true"/>
                      </wps:cNvSpPr>
                      <wps:spPr bwMode="auto">
                        <a:xfrm>
                          <a:off x="0" y="0"/>
                          <a:ext cx="2019300" cy="312420"/>
                        </a:xfrm>
                        <a:prstGeom prst="rect">
                          <a:avLst/>
                        </a:prstGeom>
                        <a:solidFill>
                          <a:srgbClr val="FFFFFF"/>
                        </a:solidFill>
                        <a:ln>
                          <a:noFill/>
                        </a:ln>
                      </wps:spPr>
                      <wps:txbx>
                        <w:txbxContent>
                          <w:p>
                            <w:pPr>
                              <w:pStyle w:val="92"/>
                              <w:numPr>
                                <w:ilvl w:val="4"/>
                                <w:numId w:val="0"/>
                              </w:numPr>
                              <w:rPr>
                                <w:rFonts w:ascii="黑体" w:hAnsi="黑体"/>
                              </w:rPr>
                            </w:pPr>
                            <w:r>
                              <w:rPr>
                                <w:rFonts w:hint="eastAsia" w:ascii="黑体" w:hAnsi="黑体"/>
                                <w:lang w:val="en-US" w:eastAsia="zh-CN"/>
                              </w:rPr>
                              <w:t>2023</w:t>
                            </w:r>
                            <w:r>
                              <w:rPr>
                                <w:rFonts w:hint="eastAsia" w:ascii="黑体" w:hAnsi="黑体"/>
                              </w:rPr>
                              <w:t>-</w:t>
                            </w:r>
                            <w:r>
                              <w:rPr>
                                <w:rFonts w:hint="eastAsia" w:ascii="黑体" w:hAnsi="黑体"/>
                                <w:lang w:val="en-US" w:eastAsia="zh-CN"/>
                              </w:rPr>
                              <w:t>04</w:t>
                            </w:r>
                            <w:r>
                              <w:rPr>
                                <w:rFonts w:hint="eastAsia" w:ascii="黑体" w:hAnsi="黑体"/>
                              </w:rPr>
                              <w:t>-</w:t>
                            </w:r>
                            <w:r>
                              <w:rPr>
                                <w:rFonts w:hint="eastAsia" w:ascii="黑体" w:hAnsi="黑体"/>
                                <w:lang w:val="en-US" w:eastAsia="zh-CN"/>
                              </w:rPr>
                              <w:t>01</w:t>
                            </w:r>
                            <w:r>
                              <w:rPr>
                                <w:rFonts w:hint="eastAsia" w:ascii="黑体" w:hAnsi="黑体"/>
                              </w:rPr>
                              <w:t>实施</w:t>
                            </w:r>
                          </w:p>
                        </w:txbxContent>
                      </wps:txbx>
                      <wps:bodyPr rot="0" vert="horz" wrap="square" lIns="0" tIns="0" rIns="0" bIns="0" anchor="t" anchorCtr="false" upright="true">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gfxdata="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C/arX2gAAAA0BAAAPAAAAAAAA&#10;AAEAIAAAADgAAABkcnMvZG93bnJldi54bWxQSwECFAAUAAAACACHTuJAmKiUCfoBAADqAwAADgAA&#10;AAAAAAABACAAAAA/AQAAZHJzL2Uyb0RvYy54bWxQSwUGAAAAAAYABgBZAQAAqwUAAAAA&#10;">
                <v:fill on="t" focussize="0,0"/>
                <v:stroke on="f"/>
                <v:imagedata o:title=""/>
                <o:lock v:ext="edit" aspectratio="f"/>
                <v:textbox inset="0mm,0mm,0mm,0mm">
                  <w:txbxContent>
                    <w:p>
                      <w:pPr>
                        <w:pStyle w:val="92"/>
                        <w:numPr>
                          <w:ilvl w:val="4"/>
                          <w:numId w:val="0"/>
                        </w:numPr>
                        <w:rPr>
                          <w:rFonts w:ascii="黑体" w:hAnsi="黑体"/>
                        </w:rPr>
                      </w:pPr>
                      <w:r>
                        <w:rPr>
                          <w:rFonts w:hint="eastAsia" w:ascii="黑体" w:hAnsi="黑体"/>
                          <w:lang w:val="en-US" w:eastAsia="zh-CN"/>
                        </w:rPr>
                        <w:t>2023</w:t>
                      </w:r>
                      <w:r>
                        <w:rPr>
                          <w:rFonts w:hint="eastAsia" w:ascii="黑体" w:hAnsi="黑体"/>
                        </w:rPr>
                        <w:t>-</w:t>
                      </w:r>
                      <w:r>
                        <w:rPr>
                          <w:rFonts w:hint="eastAsia" w:ascii="黑体" w:hAnsi="黑体"/>
                          <w:lang w:val="en-US" w:eastAsia="zh-CN"/>
                        </w:rPr>
                        <w:t>04</w:t>
                      </w:r>
                      <w:r>
                        <w:rPr>
                          <w:rFonts w:hint="eastAsia" w:ascii="黑体" w:hAnsi="黑体"/>
                        </w:rPr>
                        <w:t>-</w:t>
                      </w:r>
                      <w:r>
                        <w:rPr>
                          <w:rFonts w:hint="eastAsia" w:ascii="黑体" w:hAnsi="黑体"/>
                          <w:lang w:val="en-US" w:eastAsia="zh-CN"/>
                        </w:rPr>
                        <w:t>01</w:t>
                      </w:r>
                      <w:r>
                        <w:rPr>
                          <w:rFonts w:hint="eastAsia" w:ascii="黑体" w:hAnsi="黑体"/>
                        </w:rPr>
                        <w:t>实施</w:t>
                      </w:r>
                    </w:p>
                  </w:txbxContent>
                </v:textbox>
                <w10:anchorlock/>
              </v:shape>
            </w:pict>
          </mc:Fallback>
        </mc:AlternateContent>
      </w:r>
      <w:r>
        <mc:AlternateContent>
          <mc:Choice Requires="wps">
            <w:drawing>
              <wp:anchor distT="0" distB="0" distL="114300" distR="114300" simplePos="0" relativeHeight="251669504"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7" name="fmFrame5"/>
                <wp:cNvGraphicFramePr/>
                <a:graphic xmlns:a="http://schemas.openxmlformats.org/drawingml/2006/main">
                  <a:graphicData uri="http://schemas.microsoft.com/office/word/2010/wordprocessingShape">
                    <wps:wsp>
                      <wps:cNvSpPr txBox="true">
                        <a:spLocks noChangeArrowheads="true"/>
                      </wps:cNvSpPr>
                      <wps:spPr bwMode="auto">
                        <a:xfrm>
                          <a:off x="0" y="0"/>
                          <a:ext cx="2019300" cy="312420"/>
                        </a:xfrm>
                        <a:prstGeom prst="rect">
                          <a:avLst/>
                        </a:prstGeom>
                        <a:solidFill>
                          <a:srgbClr val="FFFFFF"/>
                        </a:solidFill>
                        <a:ln>
                          <a:noFill/>
                        </a:ln>
                      </wps:spPr>
                      <wps:txbx>
                        <w:txbxContent>
                          <w:p>
                            <w:pPr>
                              <w:pStyle w:val="93"/>
                              <w:rPr>
                                <w:rFonts w:ascii="黑体" w:hAnsi="黑体"/>
                              </w:rPr>
                            </w:pPr>
                            <w:r>
                              <w:rPr>
                                <w:rFonts w:hint="eastAsia" w:ascii="黑体" w:hAnsi="黑体"/>
                                <w:lang w:val="en-US" w:eastAsia="zh-CN"/>
                              </w:rPr>
                              <w:t>2023</w:t>
                            </w:r>
                            <w:r>
                              <w:rPr>
                                <w:rFonts w:hint="eastAsia" w:ascii="黑体" w:hAnsi="黑体"/>
                              </w:rPr>
                              <w:t>-</w:t>
                            </w:r>
                            <w:r>
                              <w:rPr>
                                <w:rFonts w:hint="eastAsia" w:ascii="黑体" w:hAnsi="黑体"/>
                                <w:lang w:val="en-US" w:eastAsia="zh-CN"/>
                              </w:rPr>
                              <w:t>02</w:t>
                            </w:r>
                            <w:r>
                              <w:rPr>
                                <w:rFonts w:hint="eastAsia" w:ascii="黑体" w:hAnsi="黑体"/>
                              </w:rPr>
                              <w:t>-</w:t>
                            </w:r>
                            <w:r>
                              <w:rPr>
                                <w:rFonts w:hint="eastAsia" w:ascii="黑体" w:hAnsi="黑体"/>
                                <w:lang w:val="en-US" w:eastAsia="zh-CN"/>
                              </w:rPr>
                              <w:t xml:space="preserve">06  </w:t>
                            </w:r>
                            <w:r>
                              <w:rPr>
                                <w:rFonts w:hint="eastAsia" w:ascii="黑体" w:hAnsi="黑体"/>
                              </w:rPr>
                              <w:t>发布</w:t>
                            </w:r>
                          </w:p>
                        </w:txbxContent>
                      </wps:txbx>
                      <wps:bodyPr rot="0" vert="horz" wrap="square" lIns="0" tIns="0" rIns="0" bIns="0" anchor="t" anchorCtr="false" upright="true">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9504;mso-width-relative:page;mso-height-relative:page;" fillcolor="#FFFFFF" filled="t" stroked="f" coordsize="21600,21600" o:gfxdata="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XzbKiNgAAAAKAQAADwAAAAAAAAAB&#10;ACAAAAA4AAAAZHJzL2Rvd25yZXYueG1sUEsBAhQAFAAAAAgAh07iQI0F8gr6AQAA6gMAAA4AAAAA&#10;AAAAAQAgAAAAPQEAAGRycy9lMm9Eb2MueG1sUEsFBgAAAAAGAAYAWQEAAKkFAAAAAA==&#10;">
                <v:fill on="t" focussize="0,0"/>
                <v:stroke on="f"/>
                <v:imagedata o:title=""/>
                <o:lock v:ext="edit" aspectratio="f"/>
                <v:textbox inset="0mm,0mm,0mm,0mm">
                  <w:txbxContent>
                    <w:p>
                      <w:pPr>
                        <w:pStyle w:val="93"/>
                        <w:rPr>
                          <w:rFonts w:ascii="黑体" w:hAnsi="黑体"/>
                        </w:rPr>
                      </w:pPr>
                      <w:r>
                        <w:rPr>
                          <w:rFonts w:hint="eastAsia" w:ascii="黑体" w:hAnsi="黑体"/>
                          <w:lang w:val="en-US" w:eastAsia="zh-CN"/>
                        </w:rPr>
                        <w:t>2023</w:t>
                      </w:r>
                      <w:r>
                        <w:rPr>
                          <w:rFonts w:hint="eastAsia" w:ascii="黑体" w:hAnsi="黑体"/>
                        </w:rPr>
                        <w:t>-</w:t>
                      </w:r>
                      <w:r>
                        <w:rPr>
                          <w:rFonts w:hint="eastAsia" w:ascii="黑体" w:hAnsi="黑体"/>
                          <w:lang w:val="en-US" w:eastAsia="zh-CN"/>
                        </w:rPr>
                        <w:t>02</w:t>
                      </w:r>
                      <w:r>
                        <w:rPr>
                          <w:rFonts w:hint="eastAsia" w:ascii="黑体" w:hAnsi="黑体"/>
                        </w:rPr>
                        <w:t>-</w:t>
                      </w:r>
                      <w:r>
                        <w:rPr>
                          <w:rFonts w:hint="eastAsia" w:ascii="黑体" w:hAnsi="黑体"/>
                          <w:lang w:val="en-US" w:eastAsia="zh-CN"/>
                        </w:rPr>
                        <w:t xml:space="preserve">06  </w:t>
                      </w:r>
                      <w:r>
                        <w:rPr>
                          <w:rFonts w:hint="eastAsia" w:ascii="黑体" w:hAnsi="黑体"/>
                        </w:rPr>
                        <w:t>发布</w:t>
                      </w:r>
                    </w:p>
                  </w:txbxContent>
                </v:textbox>
                <w10:anchorlock/>
              </v:shape>
            </w:pict>
          </mc:Fallback>
        </mc:AlternateContent>
      </w:r>
      <w:bookmarkStart w:id="98" w:name="_GoBack"/>
      <w:bookmarkEnd w:id="98"/>
      <w:r>
        <mc:AlternateContent>
          <mc:Choice Requires="wps">
            <w:drawing>
              <wp:anchor distT="0" distB="0" distL="114300" distR="114300" simplePos="0" relativeHeight="251657216" behindDoc="0" locked="1" layoutInCell="1" allowOverlap="1">
                <wp:simplePos x="0" y="0"/>
                <wp:positionH relativeFrom="margin">
                  <wp:posOffset>0</wp:posOffset>
                </wp:positionH>
                <wp:positionV relativeFrom="margin">
                  <wp:posOffset>3635375</wp:posOffset>
                </wp:positionV>
                <wp:extent cx="5969000" cy="4681220"/>
                <wp:effectExtent l="0" t="0" r="0" b="0"/>
                <wp:wrapNone/>
                <wp:docPr id="6" name="fmFrame4"/>
                <wp:cNvGraphicFramePr/>
                <a:graphic xmlns:a="http://schemas.openxmlformats.org/drawingml/2006/main">
                  <a:graphicData uri="http://schemas.microsoft.com/office/word/2010/wordprocessingShape">
                    <wps:wsp>
                      <wps:cNvSpPr txBox="true">
                        <a:spLocks noChangeArrowheads="true"/>
                      </wps:cNvSpPr>
                      <wps:spPr bwMode="auto">
                        <a:xfrm>
                          <a:off x="0" y="0"/>
                          <a:ext cx="5969000" cy="4681220"/>
                        </a:xfrm>
                        <a:prstGeom prst="rect">
                          <a:avLst/>
                        </a:prstGeom>
                        <a:solidFill>
                          <a:srgbClr val="FFFFFF"/>
                        </a:solidFill>
                        <a:ln>
                          <a:noFill/>
                        </a:ln>
                      </wps:spPr>
                      <wps:txbx>
                        <w:txbxContent>
                          <w:p>
                            <w:pPr>
                              <w:pStyle w:val="94"/>
                            </w:pPr>
                            <w:r>
                              <w:rPr>
                                <w:rFonts w:hint="eastAsia"/>
                              </w:rPr>
                              <w:t>牡蛎采收</w:t>
                            </w:r>
                            <w:r>
                              <w:t>机</w:t>
                            </w:r>
                            <w:r>
                              <w:rPr>
                                <w:rFonts w:hint="eastAsia"/>
                              </w:rPr>
                              <w:t xml:space="preserve"> </w:t>
                            </w:r>
                          </w:p>
                          <w:p>
                            <w:pPr>
                              <w:pStyle w:val="95"/>
                            </w:pPr>
                          </w:p>
                          <w:p>
                            <w:pPr>
                              <w:pStyle w:val="95"/>
                            </w:pPr>
                          </w:p>
                        </w:txbxContent>
                      </wps:txbx>
                      <wps:bodyPr rot="0" vert="horz" wrap="square" lIns="0" tIns="0" rIns="0" bIns="0" anchor="t" anchorCtr="false" upright="true">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57216;mso-width-relative:page;mso-height-relative:page;" fillcolor="#FFFFFF" filled="t" stroked="f" coordsize="21600,21600" o:gfxdata="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VFefcdgAAAAJAQAADwAAAAAA&#10;AAABACAAAAA4AAAAZHJzL2Rvd25yZXYueG1sUEsBAhQAFAAAAAgAh07iQDxdp+H9AQAA6wMAAA4A&#10;AAAAAAAAAQAgAAAAPQEAAGRycy9lMm9Eb2MueG1sUEsFBgAAAAAGAAYAWQEAAKwFAAAAAA==&#10;">
                <v:fill on="t" focussize="0,0"/>
                <v:stroke on="f"/>
                <v:imagedata o:title=""/>
                <o:lock v:ext="edit" aspectratio="f"/>
                <v:textbox inset="0mm,0mm,0mm,0mm">
                  <w:txbxContent>
                    <w:p>
                      <w:pPr>
                        <w:pStyle w:val="94"/>
                      </w:pPr>
                      <w:r>
                        <w:rPr>
                          <w:rFonts w:hint="eastAsia"/>
                        </w:rPr>
                        <w:t>牡蛎采收</w:t>
                      </w:r>
                      <w:r>
                        <w:t>机</w:t>
                      </w:r>
                      <w:r>
                        <w:rPr>
                          <w:rFonts w:hint="eastAsia"/>
                        </w:rPr>
                        <w:t xml:space="preserve"> </w:t>
                      </w:r>
                    </w:p>
                    <w:p>
                      <w:pPr>
                        <w:pStyle w:val="95"/>
                      </w:pPr>
                    </w:p>
                    <w:p>
                      <w:pPr>
                        <w:pStyle w:val="95"/>
                      </w:pPr>
                    </w:p>
                  </w:txbxContent>
                </v:textbox>
                <w10:anchorlock/>
              </v:shape>
            </w:pict>
          </mc:Fallback>
        </mc:AlternateContent>
      </w:r>
      <w:r>
        <mc:AlternateContent>
          <mc:Choice Requires="wps">
            <w:drawing>
              <wp:anchor distT="0" distB="0" distL="114300" distR="114300" simplePos="0" relativeHeight="251651072" behindDoc="0" locked="1" layoutInCell="1" allowOverlap="1">
                <wp:simplePos x="0" y="0"/>
                <wp:positionH relativeFrom="margin">
                  <wp:posOffset>0</wp:posOffset>
                </wp:positionH>
                <wp:positionV relativeFrom="margin">
                  <wp:posOffset>1468755</wp:posOffset>
                </wp:positionV>
                <wp:extent cx="5969000" cy="552450"/>
                <wp:effectExtent l="0" t="0" r="0" b="0"/>
                <wp:wrapNone/>
                <wp:docPr id="5" name="fmFrame3"/>
                <wp:cNvGraphicFramePr/>
                <a:graphic xmlns:a="http://schemas.openxmlformats.org/drawingml/2006/main">
                  <a:graphicData uri="http://schemas.microsoft.com/office/word/2010/wordprocessingShape">
                    <wps:wsp>
                      <wps:cNvSpPr txBox="true">
                        <a:spLocks noChangeArrowheads="true"/>
                      </wps:cNvSpPr>
                      <wps:spPr bwMode="auto">
                        <a:xfrm>
                          <a:off x="0" y="0"/>
                          <a:ext cx="5969000" cy="552450"/>
                        </a:xfrm>
                        <a:prstGeom prst="rect">
                          <a:avLst/>
                        </a:prstGeom>
                        <a:solidFill>
                          <a:srgbClr val="FFFFFF"/>
                        </a:solidFill>
                        <a:ln>
                          <a:noFill/>
                        </a:ln>
                      </wps:spPr>
                      <wps:txbx>
                        <w:txbxContent>
                          <w:p>
                            <w:pPr>
                              <w:pStyle w:val="60"/>
                              <w:rPr>
                                <w:rFonts w:ascii="黑体" w:hAnsi="黑体" w:eastAsia="黑体"/>
                              </w:rPr>
                            </w:pPr>
                            <w:r>
                              <w:rPr>
                                <w:rFonts w:hint="eastAsia" w:ascii="黑体" w:hAnsi="黑体" w:eastAsia="黑体"/>
                              </w:rPr>
                              <w:t>DG31/Z</w:t>
                            </w:r>
                            <w:r>
                              <w:rPr>
                                <w:rFonts w:ascii="黑体" w:hAnsi="黑体" w:eastAsia="黑体"/>
                              </w:rPr>
                              <w:t xml:space="preserve"> </w:t>
                            </w:r>
                            <w:r>
                              <w:rPr>
                                <w:rFonts w:hint="eastAsia" w:ascii="黑体" w:hAnsi="黑体" w:eastAsia="黑体"/>
                                <w:lang w:val="en-US" w:eastAsia="zh-CN"/>
                              </w:rPr>
                              <w:t>001</w:t>
                            </w:r>
                            <w:r>
                              <w:rPr>
                                <w:rFonts w:ascii="黑体" w:hAnsi="黑体" w:eastAsia="黑体"/>
                              </w:rPr>
                              <w:t>-</w:t>
                            </w:r>
                            <w:r>
                              <w:rPr>
                                <w:rFonts w:hint="eastAsia" w:ascii="黑体" w:hAnsi="黑体" w:eastAsia="黑体"/>
                                <w:lang w:val="en-US" w:eastAsia="zh-CN"/>
                              </w:rPr>
                              <w:t>2023</w:t>
                            </w:r>
                          </w:p>
                        </w:txbxContent>
                      </wps:txbx>
                      <wps:bodyPr rot="0" vert="horz" wrap="square" lIns="0" tIns="0" rIns="0" bIns="0" anchor="t" anchorCtr="false" upright="true">
                        <a:noAutofit/>
                      </wps:bodyPr>
                    </wps:wsp>
                  </a:graphicData>
                </a:graphic>
              </wp:anchor>
            </w:drawing>
          </mc:Choice>
          <mc:Fallback>
            <w:pict>
              <v:shape id="fmFrame3" o:spid="_x0000_s1026" o:spt="202" type="#_x0000_t202" style="position:absolute;left:0pt;margin-left:0pt;margin-top:115.65pt;height:43.5pt;width:470pt;mso-position-horizontal-relative:margin;mso-position-vertical-relative:margin;z-index:251651072;mso-width-relative:page;mso-height-relative:page;" fillcolor="#FFFFFF" filled="t" stroked="f" coordsize="21600,21600" o:gfxdata="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ZglHv2AAAAAgBAAAPAAAAAAAA&#10;AAEAIAAAADgAAABkcnMvZG93bnJldi54bWxQSwECFAAUAAAACACHTuJAEyh89vwBAADqAwAADgAA&#10;AAAAAAABACAAAAA9AQAAZHJzL2Uyb0RvYy54bWxQSwUGAAAAAAYABgBZAQAAqwUAAAAA&#10;">
                <v:fill on="t" focussize="0,0"/>
                <v:stroke on="f"/>
                <v:imagedata o:title=""/>
                <o:lock v:ext="edit" aspectratio="f"/>
                <v:textbox inset="0mm,0mm,0mm,0mm">
                  <w:txbxContent>
                    <w:p>
                      <w:pPr>
                        <w:pStyle w:val="60"/>
                        <w:rPr>
                          <w:rFonts w:ascii="黑体" w:hAnsi="黑体" w:eastAsia="黑体"/>
                        </w:rPr>
                      </w:pPr>
                      <w:r>
                        <w:rPr>
                          <w:rFonts w:hint="eastAsia" w:ascii="黑体" w:hAnsi="黑体" w:eastAsia="黑体"/>
                        </w:rPr>
                        <w:t>DG31/Z</w:t>
                      </w:r>
                      <w:r>
                        <w:rPr>
                          <w:rFonts w:ascii="黑体" w:hAnsi="黑体" w:eastAsia="黑体"/>
                        </w:rPr>
                        <w:t xml:space="preserve"> </w:t>
                      </w:r>
                      <w:r>
                        <w:rPr>
                          <w:rFonts w:hint="eastAsia" w:ascii="黑体" w:hAnsi="黑体" w:eastAsia="黑体"/>
                          <w:lang w:val="en-US" w:eastAsia="zh-CN"/>
                        </w:rPr>
                        <w:t>001</w:t>
                      </w:r>
                      <w:r>
                        <w:rPr>
                          <w:rFonts w:ascii="黑体" w:hAnsi="黑体" w:eastAsia="黑体"/>
                        </w:rPr>
                        <w:t>-</w:t>
                      </w:r>
                      <w:r>
                        <w:rPr>
                          <w:rFonts w:hint="eastAsia" w:ascii="黑体" w:hAnsi="黑体" w:eastAsia="黑体"/>
                          <w:lang w:val="en-US" w:eastAsia="zh-CN"/>
                        </w:rPr>
                        <w:t>2023</w:t>
                      </w:r>
                    </w:p>
                  </w:txbxContent>
                </v:textbox>
                <w10:anchorlock/>
              </v:shape>
            </w:pict>
          </mc:Fallback>
        </mc:AlternateContent>
      </w:r>
      <w:r>
        <mc:AlternateContent>
          <mc:Choice Requires="wps">
            <w:drawing>
              <wp:anchor distT="0" distB="0" distL="114300" distR="114300" simplePos="0" relativeHeight="251644928" behindDoc="0" locked="1" layoutInCell="1" allowOverlap="1">
                <wp:simplePos x="0" y="0"/>
                <wp:positionH relativeFrom="margin">
                  <wp:posOffset>2549525</wp:posOffset>
                </wp:positionH>
                <wp:positionV relativeFrom="margin">
                  <wp:posOffset>107315</wp:posOffset>
                </wp:positionV>
                <wp:extent cx="3175000" cy="720090"/>
                <wp:effectExtent l="0" t="0" r="0" b="0"/>
                <wp:wrapNone/>
                <wp:docPr id="4" name="fmFrame8"/>
                <wp:cNvGraphicFramePr/>
                <a:graphic xmlns:a="http://schemas.openxmlformats.org/drawingml/2006/main">
                  <a:graphicData uri="http://schemas.microsoft.com/office/word/2010/wordprocessingShape">
                    <wps:wsp>
                      <wps:cNvSpPr txBox="true">
                        <a:spLocks noChangeArrowheads="true"/>
                      </wps:cNvSpPr>
                      <wps:spPr bwMode="auto">
                        <a:xfrm>
                          <a:off x="0" y="0"/>
                          <a:ext cx="3175000" cy="720090"/>
                        </a:xfrm>
                        <a:prstGeom prst="rect">
                          <a:avLst/>
                        </a:prstGeom>
                        <a:solidFill>
                          <a:srgbClr val="FFFFFF"/>
                        </a:solidFill>
                        <a:ln>
                          <a:noFill/>
                        </a:ln>
                      </wps:spPr>
                      <wps:txbx>
                        <w:txbxContent>
                          <w:p>
                            <w:pPr>
                              <w:pStyle w:val="97"/>
                            </w:pPr>
                            <w:r>
                              <w:rPr>
                                <w:rFonts w:hint="eastAsia"/>
                              </w:rPr>
                              <w:t>DG</w:t>
                            </w:r>
                          </w:p>
                        </w:txbxContent>
                      </wps:txbx>
                      <wps:bodyPr rot="0" vert="horz" wrap="square" lIns="0" tIns="0" rIns="0" bIns="0" anchor="t" anchorCtr="false" upright="true">
                        <a:noAutofit/>
                      </wps:bodyPr>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44928;mso-width-relative:page;mso-height-relative:page;" fillcolor="#FFFFFF" filled="t" stroked="f" coordsize="21600,21600" o:gfxdata="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ElZOzzYAAAACgEAAA8AAAAAAAAA&#10;AQAgAAAAOAAAAGRycy9kb3ducmV2LnhtbFBLAQIUABQAAAAIAIdO4kCRmcqj+wEAAOoDAAAOAAAA&#10;AAAAAAEAIAAAAD0BAABkcnMvZTJvRG9jLnhtbFBLBQYAAAAABgAGAFkBAACqBQAAAAA=&#10;">
                <v:fill on="t" focussize="0,0"/>
                <v:stroke on="f"/>
                <v:imagedata o:title=""/>
                <o:lock v:ext="edit" aspectratio="f"/>
                <v:textbox inset="0mm,0mm,0mm,0mm">
                  <w:txbxContent>
                    <w:p>
                      <w:pPr>
                        <w:pStyle w:val="97"/>
                      </w:pPr>
                      <w:r>
                        <w:rPr>
                          <w:rFonts w:hint="eastAsia"/>
                        </w:rPr>
                        <w:t>DG</w:t>
                      </w:r>
                    </w:p>
                  </w:txbxContent>
                </v:textbox>
                <w10:anchorlock/>
              </v:shape>
            </w:pict>
          </mc:Fallback>
        </mc:AlternateContent>
      </w:r>
      <w:r>
        <mc:AlternateContent>
          <mc:Choice Requires="wps">
            <w:drawing>
              <wp:anchor distT="0" distB="0" distL="114300" distR="114300" simplePos="0" relativeHeight="251638784"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3" name="fmFrame2"/>
                <wp:cNvGraphicFramePr/>
                <a:graphic xmlns:a="http://schemas.openxmlformats.org/drawingml/2006/main">
                  <a:graphicData uri="http://schemas.microsoft.com/office/word/2010/wordprocessingShape">
                    <wps:wsp>
                      <wps:cNvSpPr txBox="true">
                        <a:spLocks noChangeArrowheads="true"/>
                      </wps:cNvSpPr>
                      <wps:spPr bwMode="auto">
                        <a:xfrm>
                          <a:off x="0" y="0"/>
                          <a:ext cx="6120130" cy="391160"/>
                        </a:xfrm>
                        <a:prstGeom prst="rect">
                          <a:avLst/>
                        </a:prstGeom>
                        <a:solidFill>
                          <a:srgbClr val="FFFFFF"/>
                        </a:solidFill>
                        <a:ln>
                          <a:noFill/>
                        </a:ln>
                      </wps:spPr>
                      <wps:txbx>
                        <w:txbxContent>
                          <w:p>
                            <w:pPr>
                              <w:pStyle w:val="99"/>
                            </w:pPr>
                            <w:r>
                              <w:rPr>
                                <w:rFonts w:hint="eastAsia"/>
                              </w:rPr>
                              <w:t>农业机械专项鉴定大纲</w:t>
                            </w:r>
                          </w:p>
                        </w:txbxContent>
                      </wps:txbx>
                      <wps:bodyPr rot="0" vert="horz" wrap="square" lIns="0" tIns="0" rIns="0" bIns="0" anchor="t" anchorCtr="false" upright="true">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38784;mso-width-relative:page;mso-height-relative:page;" fillcolor="#FFFFFF" filled="t" stroked="f" coordsize="21600,21600" o:gfxdata="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GDkcF1wAAAAgBAAAPAAAAAAAAAAEA&#10;IAAAADgAAABkcnMvZG93bnJldi54bWxQSwECFAAUAAAACACHTuJA37lVFPoBAADqAwAADgAAAAAA&#10;AAABACAAAAA8AQAAZHJzL2Uyb0RvYy54bWxQSwUGAAAAAAYABgBZAQAAqAUAAAAA&#10;">
                <v:fill on="t" focussize="0,0"/>
                <v:stroke on="f"/>
                <v:imagedata o:title=""/>
                <o:lock v:ext="edit" aspectratio="f"/>
                <v:textbox inset="0mm,0mm,0mm,0mm">
                  <w:txbxContent>
                    <w:p>
                      <w:pPr>
                        <w:pStyle w:val="99"/>
                      </w:pPr>
                      <w:r>
                        <w:rPr>
                          <w:rFonts w:hint="eastAsia"/>
                        </w:rPr>
                        <w:t>农业机械专项鉴定大纲</w:t>
                      </w:r>
                    </w:p>
                  </w:txbxContent>
                </v:textbox>
                <w10:anchorlock/>
              </v:shape>
            </w:pict>
          </mc:Fallback>
        </mc:AlternateContent>
      </w:r>
      <w:r>
        <mc:AlternateContent>
          <mc:Choice Requires="wps">
            <w:drawing>
              <wp:anchor distT="0" distB="0" distL="114300" distR="114300" simplePos="0" relativeHeight="251632640" behindDoc="0" locked="1" layoutInCell="1" allowOverlap="1">
                <wp:simplePos x="0" y="0"/>
                <wp:positionH relativeFrom="margin">
                  <wp:posOffset>0</wp:posOffset>
                </wp:positionH>
                <wp:positionV relativeFrom="margin">
                  <wp:posOffset>0</wp:posOffset>
                </wp:positionV>
                <wp:extent cx="2540000" cy="657860"/>
                <wp:effectExtent l="0" t="0" r="0" b="0"/>
                <wp:wrapNone/>
                <wp:docPr id="2" name="fmFrame1"/>
                <wp:cNvGraphicFramePr/>
                <a:graphic xmlns:a="http://schemas.openxmlformats.org/drawingml/2006/main">
                  <a:graphicData uri="http://schemas.microsoft.com/office/word/2010/wordprocessingShape">
                    <wps:wsp>
                      <wps:cNvSpPr txBox="true">
                        <a:spLocks noChangeArrowheads="true"/>
                      </wps:cNvSpPr>
                      <wps:spPr bwMode="auto">
                        <a:xfrm>
                          <a:off x="0" y="0"/>
                          <a:ext cx="2540000" cy="657860"/>
                        </a:xfrm>
                        <a:prstGeom prst="rect">
                          <a:avLst/>
                        </a:prstGeom>
                        <a:solidFill>
                          <a:srgbClr val="FFFFFF"/>
                        </a:solidFill>
                        <a:ln>
                          <a:noFill/>
                        </a:ln>
                      </wps:spPr>
                      <wps:txbx>
                        <w:txbxContent>
                          <w:p>
                            <w:pPr>
                              <w:pStyle w:val="71"/>
                            </w:pPr>
                            <w:r>
                              <w:rPr>
                                <w:rFonts w:hint="eastAsia" w:ascii="黑体" w:cs="黑体"/>
                                <w:sz w:val="28"/>
                                <w:szCs w:val="28"/>
                              </w:rPr>
                              <w:t>备案号：Z备2022 035号</w:t>
                            </w:r>
                          </w:p>
                        </w:txbxContent>
                      </wps:txbx>
                      <wps:bodyPr rot="0" vert="horz" wrap="square" lIns="0" tIns="0" rIns="0" bIns="0" anchor="t" anchorCtr="false" upright="true">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32640;mso-width-relative:page;mso-height-relative:page;" fillcolor="#FFFFFF" filled="t" stroked="f" coordsize="21600,21600" o:gfxdata="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F7Mvg0wAAAAUBAAAPAAAAAAAAAAEAIAAA&#10;ADgAAABkcnMvZG93bnJldi54bWxQSwECFAAUAAAACACHTuJAMPeMMvsBAADqAwAADgAAAAAAAAAB&#10;ACAAAAA4AQAAZHJzL2Uyb0RvYy54bWxQSwUGAAAAAAYABgBZAQAApQUAAAAA&#10;">
                <v:fill on="t" focussize="0,0"/>
                <v:stroke on="f"/>
                <v:imagedata o:title=""/>
                <o:lock v:ext="edit" aspectratio="f"/>
                <v:textbox inset="0mm,0mm,0mm,0mm">
                  <w:txbxContent>
                    <w:p>
                      <w:pPr>
                        <w:pStyle w:val="71"/>
                      </w:pPr>
                      <w:r>
                        <w:rPr>
                          <w:rFonts w:hint="eastAsia" w:ascii="黑体" w:cs="黑体"/>
                          <w:sz w:val="28"/>
                          <w:szCs w:val="28"/>
                        </w:rPr>
                        <w:t>备案号：Z备2022 035号</w:t>
                      </w:r>
                    </w:p>
                  </w:txbxContent>
                </v:textbox>
                <w10:anchorlock/>
              </v:shape>
            </w:pict>
          </mc:Fallback>
        </mc:AlternateContent>
      </w:r>
    </w:p>
    <w:p>
      <w:pPr>
        <w:pStyle w:val="87"/>
      </w:pPr>
      <w:bookmarkStart w:id="0" w:name="_Toc79049484"/>
      <w:bookmarkStart w:id="1" w:name="_Toc108784920"/>
      <w:bookmarkStart w:id="2" w:name="SectionMark2"/>
      <w:r>
        <w:t>目</w:t>
      </w:r>
      <w:r>
        <w:rPr>
          <w:rFonts w:hint="eastAsia"/>
        </w:rPr>
        <w:t xml:space="preserve"> </w:t>
      </w:r>
      <w:r>
        <w:t xml:space="preserve">   </w:t>
      </w:r>
      <w:r>
        <w:rPr>
          <w:rFonts w:hint="eastAsia"/>
        </w:rPr>
        <w:t>次</w:t>
      </w:r>
      <w:bookmarkEnd w:id="0"/>
      <w:bookmarkEnd w:id="1"/>
    </w:p>
    <w:p>
      <w:pPr>
        <w:pStyle w:val="17"/>
        <w:tabs>
          <w:tab w:val="right" w:leader="dot" w:pos="9345"/>
        </w:tabs>
        <w:rPr>
          <w:rFonts w:hAnsi="宋体" w:cs="宋体"/>
          <w:kern w:val="2"/>
          <w:szCs w:val="22"/>
        </w:rPr>
      </w:pPr>
      <w:r>
        <w:rPr>
          <w:rFonts w:asciiTheme="minorEastAsia" w:hAnsiTheme="minorEastAsia" w:eastAsiaTheme="minorEastAsia"/>
        </w:rPr>
        <w:fldChar w:fldCharType="begin"/>
      </w:r>
      <w:r>
        <w:rPr>
          <w:rFonts w:asciiTheme="minorEastAsia" w:hAnsiTheme="minorEastAsia" w:eastAsiaTheme="minorEastAsia"/>
        </w:rPr>
        <w:instrText xml:space="preserve"> TOC \o "1-3" \h \z \u </w:instrText>
      </w:r>
      <w:r>
        <w:rPr>
          <w:rFonts w:asciiTheme="minorEastAsia" w:hAnsiTheme="minorEastAsia" w:eastAsiaTheme="minorEastAsia"/>
        </w:rPr>
        <w:fldChar w:fldCharType="separate"/>
      </w:r>
      <w:r>
        <w:fldChar w:fldCharType="begin"/>
      </w:r>
      <w:r>
        <w:instrText xml:space="preserve"> HYPERLINK \l "_Toc108784921" </w:instrText>
      </w:r>
      <w:r>
        <w:fldChar w:fldCharType="separate"/>
      </w:r>
      <w:r>
        <w:rPr>
          <w:rStyle w:val="39"/>
          <w:rFonts w:hint="eastAsia" w:ascii="宋体" w:hAnsi="宋体" w:cs="宋体"/>
        </w:rPr>
        <w:t>前言</w:t>
      </w:r>
      <w:r>
        <w:rPr>
          <w:rFonts w:hAnsi="宋体" w:cs="宋体"/>
        </w:rPr>
        <w:tab/>
      </w:r>
      <w:r>
        <w:rPr>
          <w:rFonts w:hAnsi="宋体" w:cs="宋体"/>
        </w:rPr>
        <w:fldChar w:fldCharType="begin"/>
      </w:r>
      <w:r>
        <w:rPr>
          <w:rFonts w:hAnsi="宋体" w:cs="宋体"/>
        </w:rPr>
        <w:instrText xml:space="preserve"> PAGEREF _Toc108784921 \h </w:instrText>
      </w:r>
      <w:r>
        <w:rPr>
          <w:rFonts w:hAnsi="宋体" w:cs="宋体"/>
        </w:rPr>
        <w:fldChar w:fldCharType="separate"/>
      </w:r>
      <w:r>
        <w:rPr>
          <w:rFonts w:hAnsi="宋体" w:cs="宋体"/>
        </w:rPr>
        <w:t>II</w:t>
      </w:r>
      <w:r>
        <w:rPr>
          <w:rFonts w:hAnsi="宋体" w:cs="宋体"/>
        </w:rPr>
        <w:fldChar w:fldCharType="end"/>
      </w:r>
      <w:r>
        <w:rPr>
          <w:rFonts w:hAnsi="宋体" w:cs="宋体"/>
        </w:rPr>
        <w:fldChar w:fldCharType="end"/>
      </w:r>
    </w:p>
    <w:p>
      <w:pPr>
        <w:pStyle w:val="17"/>
        <w:tabs>
          <w:tab w:val="right" w:leader="dot" w:pos="9345"/>
        </w:tabs>
        <w:rPr>
          <w:rFonts w:hAnsi="宋体" w:cs="宋体"/>
          <w:kern w:val="2"/>
          <w:szCs w:val="22"/>
        </w:rPr>
      </w:pPr>
      <w:r>
        <w:fldChar w:fldCharType="begin"/>
      </w:r>
      <w:r>
        <w:instrText xml:space="preserve"> HYPERLINK \l "_Toc108784923" </w:instrText>
      </w:r>
      <w:r>
        <w:fldChar w:fldCharType="separate"/>
      </w:r>
      <w:r>
        <w:rPr>
          <w:rStyle w:val="39"/>
          <w:rFonts w:ascii="宋体" w:hAnsi="宋体" w:cs="宋体"/>
        </w:rPr>
        <w:t xml:space="preserve">1 </w:t>
      </w:r>
      <w:r>
        <w:rPr>
          <w:rStyle w:val="39"/>
          <w:rFonts w:hint="eastAsia" w:ascii="宋体" w:hAnsi="宋体" w:cs="宋体"/>
        </w:rPr>
        <w:t>范围</w:t>
      </w:r>
      <w:r>
        <w:rPr>
          <w:rFonts w:hAnsi="宋体" w:cs="宋体"/>
        </w:rPr>
        <w:tab/>
      </w:r>
      <w:r>
        <w:rPr>
          <w:rFonts w:hAnsi="宋体" w:cs="宋体"/>
        </w:rPr>
        <w:fldChar w:fldCharType="begin"/>
      </w:r>
      <w:r>
        <w:rPr>
          <w:rFonts w:hAnsi="宋体" w:cs="宋体"/>
        </w:rPr>
        <w:instrText xml:space="preserve"> PAGEREF _Toc108784923 \h </w:instrText>
      </w:r>
      <w:r>
        <w:rPr>
          <w:rFonts w:hAnsi="宋体" w:cs="宋体"/>
        </w:rPr>
        <w:fldChar w:fldCharType="separate"/>
      </w:r>
      <w:r>
        <w:rPr>
          <w:rFonts w:hAnsi="宋体" w:cs="宋体"/>
        </w:rPr>
        <w:t>1</w:t>
      </w:r>
      <w:r>
        <w:rPr>
          <w:rFonts w:hAnsi="宋体" w:cs="宋体"/>
        </w:rPr>
        <w:fldChar w:fldCharType="end"/>
      </w:r>
      <w:r>
        <w:rPr>
          <w:rFonts w:hAnsi="宋体" w:cs="宋体"/>
        </w:rPr>
        <w:fldChar w:fldCharType="end"/>
      </w:r>
    </w:p>
    <w:p>
      <w:pPr>
        <w:pStyle w:val="16"/>
        <w:tabs>
          <w:tab w:val="right" w:leader="dot" w:pos="9345"/>
        </w:tabs>
        <w:rPr>
          <w:rFonts w:hAnsi="宋体" w:cs="宋体"/>
          <w:kern w:val="2"/>
          <w:szCs w:val="22"/>
        </w:rPr>
      </w:pPr>
      <w:r>
        <w:fldChar w:fldCharType="begin"/>
      </w:r>
      <w:r>
        <w:instrText xml:space="preserve"> HYPERLINK \l "_Toc108784924" </w:instrText>
      </w:r>
      <w:r>
        <w:fldChar w:fldCharType="separate"/>
      </w:r>
      <w:r>
        <w:rPr>
          <w:rStyle w:val="39"/>
          <w:rFonts w:ascii="宋体" w:hAnsi="宋体" w:cs="宋体"/>
        </w:rPr>
        <w:t xml:space="preserve">2 </w:t>
      </w:r>
      <w:r>
        <w:rPr>
          <w:rStyle w:val="39"/>
          <w:rFonts w:hint="eastAsia" w:ascii="宋体" w:hAnsi="宋体" w:cs="宋体"/>
        </w:rPr>
        <w:t>规范性引用文件</w:t>
      </w:r>
      <w:r>
        <w:rPr>
          <w:rFonts w:hAnsi="宋体" w:cs="宋体"/>
        </w:rPr>
        <w:tab/>
      </w:r>
      <w:r>
        <w:rPr>
          <w:rFonts w:hAnsi="宋体" w:cs="宋体"/>
        </w:rPr>
        <w:fldChar w:fldCharType="begin"/>
      </w:r>
      <w:r>
        <w:rPr>
          <w:rFonts w:hAnsi="宋体" w:cs="宋体"/>
        </w:rPr>
        <w:instrText xml:space="preserve"> PAGEREF _Toc108784924 \h </w:instrText>
      </w:r>
      <w:r>
        <w:rPr>
          <w:rFonts w:hAnsi="宋体" w:cs="宋体"/>
        </w:rPr>
        <w:fldChar w:fldCharType="separate"/>
      </w:r>
      <w:r>
        <w:rPr>
          <w:rFonts w:hAnsi="宋体" w:cs="宋体"/>
        </w:rPr>
        <w:t>1</w:t>
      </w:r>
      <w:r>
        <w:rPr>
          <w:rFonts w:hAnsi="宋体" w:cs="宋体"/>
        </w:rPr>
        <w:fldChar w:fldCharType="end"/>
      </w:r>
      <w:r>
        <w:rPr>
          <w:rFonts w:hAnsi="宋体" w:cs="宋体"/>
        </w:rPr>
        <w:fldChar w:fldCharType="end"/>
      </w:r>
    </w:p>
    <w:p>
      <w:pPr>
        <w:pStyle w:val="16"/>
        <w:tabs>
          <w:tab w:val="right" w:leader="dot" w:pos="9345"/>
        </w:tabs>
        <w:rPr>
          <w:rFonts w:hAnsi="宋体" w:cs="宋体"/>
          <w:kern w:val="2"/>
          <w:szCs w:val="22"/>
        </w:rPr>
      </w:pPr>
      <w:r>
        <w:fldChar w:fldCharType="begin"/>
      </w:r>
      <w:r>
        <w:instrText xml:space="preserve"> HYPERLINK \l "_Toc108784925" </w:instrText>
      </w:r>
      <w:r>
        <w:fldChar w:fldCharType="separate"/>
      </w:r>
      <w:r>
        <w:rPr>
          <w:rStyle w:val="39"/>
          <w:rFonts w:ascii="宋体" w:hAnsi="宋体" w:cs="宋体"/>
        </w:rPr>
        <w:t xml:space="preserve">3 </w:t>
      </w:r>
      <w:r>
        <w:rPr>
          <w:rStyle w:val="39"/>
          <w:rFonts w:hint="eastAsia" w:ascii="宋体" w:hAnsi="宋体" w:cs="宋体"/>
        </w:rPr>
        <w:t>术语和定义</w:t>
      </w:r>
      <w:r>
        <w:rPr>
          <w:rFonts w:hAnsi="宋体" w:cs="宋体"/>
        </w:rPr>
        <w:tab/>
      </w:r>
      <w:r>
        <w:rPr>
          <w:rFonts w:hAnsi="宋体" w:cs="宋体"/>
        </w:rPr>
        <w:fldChar w:fldCharType="begin"/>
      </w:r>
      <w:r>
        <w:rPr>
          <w:rFonts w:hAnsi="宋体" w:cs="宋体"/>
        </w:rPr>
        <w:instrText xml:space="preserve"> PAGEREF _Toc108784925 \h </w:instrText>
      </w:r>
      <w:r>
        <w:rPr>
          <w:rFonts w:hAnsi="宋体" w:cs="宋体"/>
        </w:rPr>
        <w:fldChar w:fldCharType="separate"/>
      </w:r>
      <w:r>
        <w:rPr>
          <w:rFonts w:hAnsi="宋体" w:cs="宋体"/>
        </w:rPr>
        <w:t>1</w:t>
      </w:r>
      <w:r>
        <w:rPr>
          <w:rFonts w:hAnsi="宋体" w:cs="宋体"/>
        </w:rPr>
        <w:fldChar w:fldCharType="end"/>
      </w:r>
      <w:r>
        <w:rPr>
          <w:rFonts w:hAnsi="宋体" w:cs="宋体"/>
        </w:rPr>
        <w:fldChar w:fldCharType="end"/>
      </w:r>
    </w:p>
    <w:p>
      <w:pPr>
        <w:pStyle w:val="16"/>
        <w:tabs>
          <w:tab w:val="right" w:leader="dot" w:pos="9345"/>
        </w:tabs>
        <w:rPr>
          <w:rFonts w:hAnsi="宋体" w:cs="宋体"/>
          <w:kern w:val="2"/>
          <w:szCs w:val="22"/>
        </w:rPr>
      </w:pPr>
      <w:r>
        <w:fldChar w:fldCharType="begin"/>
      </w:r>
      <w:r>
        <w:instrText xml:space="preserve"> HYPERLINK \l "_Toc108784926" </w:instrText>
      </w:r>
      <w:r>
        <w:fldChar w:fldCharType="separate"/>
      </w:r>
      <w:r>
        <w:rPr>
          <w:rStyle w:val="39"/>
          <w:rFonts w:ascii="宋体" w:hAnsi="宋体" w:cs="宋体"/>
        </w:rPr>
        <w:t xml:space="preserve">4 </w:t>
      </w:r>
      <w:r>
        <w:rPr>
          <w:rStyle w:val="39"/>
          <w:rFonts w:hint="eastAsia" w:ascii="宋体" w:hAnsi="宋体" w:cs="宋体"/>
        </w:rPr>
        <w:t>基本要求</w:t>
      </w:r>
      <w:r>
        <w:rPr>
          <w:rFonts w:hAnsi="宋体" w:cs="宋体"/>
        </w:rPr>
        <w:tab/>
      </w:r>
      <w:r>
        <w:rPr>
          <w:rFonts w:hAnsi="宋体" w:cs="宋体"/>
        </w:rPr>
        <w:t>2</w:t>
      </w:r>
      <w:r>
        <w:rPr>
          <w:rFonts w:hAnsi="宋体" w:cs="宋体"/>
        </w:rPr>
        <w:fldChar w:fldCharType="end"/>
      </w:r>
    </w:p>
    <w:p>
      <w:pPr>
        <w:pStyle w:val="15"/>
        <w:tabs>
          <w:tab w:val="right" w:leader="dot" w:pos="9345"/>
        </w:tabs>
        <w:rPr>
          <w:rFonts w:hAnsi="宋体" w:cs="宋体"/>
          <w:kern w:val="2"/>
          <w:szCs w:val="22"/>
        </w:rPr>
      </w:pPr>
      <w:r>
        <w:fldChar w:fldCharType="begin"/>
      </w:r>
      <w:r>
        <w:instrText xml:space="preserve"> HYPERLINK \l "_Toc108784927" </w:instrText>
      </w:r>
      <w:r>
        <w:fldChar w:fldCharType="separate"/>
      </w:r>
      <w:r>
        <w:rPr>
          <w:rStyle w:val="39"/>
          <w:rFonts w:ascii="宋体" w:hAnsi="宋体" w:cs="宋体"/>
        </w:rPr>
        <w:t xml:space="preserve">4.1 </w:t>
      </w:r>
      <w:r>
        <w:rPr>
          <w:rStyle w:val="39"/>
          <w:rFonts w:hint="eastAsia" w:ascii="宋体" w:hAnsi="宋体" w:cs="宋体"/>
        </w:rPr>
        <w:t>需</w:t>
      </w:r>
      <w:r>
        <w:rPr>
          <w:rStyle w:val="39"/>
          <w:rFonts w:hint="eastAsia" w:hAnsi="宋体" w:cs="宋体"/>
        </w:rPr>
        <w:t>补充</w:t>
      </w:r>
      <w:r>
        <w:rPr>
          <w:rStyle w:val="39"/>
          <w:rFonts w:hint="eastAsia" w:ascii="宋体" w:hAnsi="宋体" w:cs="宋体"/>
        </w:rPr>
        <w:t>提供的材料</w:t>
      </w:r>
      <w:r>
        <w:rPr>
          <w:rFonts w:hAnsi="宋体" w:cs="宋体"/>
        </w:rPr>
        <w:tab/>
      </w:r>
      <w:r>
        <w:rPr>
          <w:rFonts w:hAnsi="宋体" w:cs="宋体"/>
        </w:rPr>
        <w:t>2</w:t>
      </w:r>
      <w:r>
        <w:rPr>
          <w:rFonts w:hAnsi="宋体" w:cs="宋体"/>
        </w:rPr>
        <w:fldChar w:fldCharType="end"/>
      </w:r>
    </w:p>
    <w:p>
      <w:pPr>
        <w:pStyle w:val="15"/>
        <w:tabs>
          <w:tab w:val="right" w:leader="dot" w:pos="9345"/>
        </w:tabs>
        <w:rPr>
          <w:rFonts w:hAnsi="宋体" w:cs="宋体"/>
          <w:kern w:val="2"/>
          <w:szCs w:val="22"/>
        </w:rPr>
      </w:pPr>
      <w:r>
        <w:fldChar w:fldCharType="begin"/>
      </w:r>
      <w:r>
        <w:instrText xml:space="preserve"> HYPERLINK \l "_Toc108784928" </w:instrText>
      </w:r>
      <w:r>
        <w:fldChar w:fldCharType="separate"/>
      </w:r>
      <w:r>
        <w:rPr>
          <w:rStyle w:val="39"/>
          <w:rFonts w:ascii="宋体" w:hAnsi="宋体" w:cs="宋体"/>
        </w:rPr>
        <w:t>4.2</w:t>
      </w:r>
      <w:r>
        <w:rPr>
          <w:rStyle w:val="39"/>
          <w:rFonts w:hint="eastAsia" w:ascii="宋体" w:hAnsi="宋体" w:cs="宋体"/>
        </w:rPr>
        <w:t xml:space="preserve"> 样机确定</w:t>
      </w:r>
      <w:r>
        <w:rPr>
          <w:rFonts w:hAnsi="宋体" w:cs="宋体"/>
        </w:rPr>
        <w:tab/>
      </w:r>
      <w:r>
        <w:rPr>
          <w:rFonts w:hAnsi="宋体" w:cs="宋体"/>
        </w:rPr>
        <w:fldChar w:fldCharType="begin"/>
      </w:r>
      <w:r>
        <w:rPr>
          <w:rFonts w:hAnsi="宋体" w:cs="宋体"/>
        </w:rPr>
        <w:instrText xml:space="preserve"> PAGEREF _Toc108784928 \h </w:instrText>
      </w:r>
      <w:r>
        <w:rPr>
          <w:rFonts w:hAnsi="宋体" w:cs="宋体"/>
        </w:rPr>
        <w:fldChar w:fldCharType="separate"/>
      </w:r>
      <w:r>
        <w:rPr>
          <w:rFonts w:hAnsi="宋体" w:cs="宋体"/>
        </w:rPr>
        <w:t>2</w:t>
      </w:r>
      <w:r>
        <w:rPr>
          <w:rFonts w:hAnsi="宋体" w:cs="宋体"/>
        </w:rPr>
        <w:fldChar w:fldCharType="end"/>
      </w:r>
      <w:r>
        <w:rPr>
          <w:rFonts w:hAnsi="宋体" w:cs="宋体"/>
        </w:rPr>
        <w:fldChar w:fldCharType="end"/>
      </w:r>
    </w:p>
    <w:p>
      <w:pPr>
        <w:pStyle w:val="15"/>
        <w:tabs>
          <w:tab w:val="right" w:leader="dot" w:pos="9345"/>
        </w:tabs>
        <w:rPr>
          <w:rFonts w:hAnsi="宋体" w:cs="宋体"/>
          <w:kern w:val="2"/>
          <w:szCs w:val="22"/>
        </w:rPr>
      </w:pPr>
      <w:r>
        <w:fldChar w:fldCharType="begin"/>
      </w:r>
      <w:r>
        <w:instrText xml:space="preserve"> HYPERLINK \l "_Toc108784929" </w:instrText>
      </w:r>
      <w:r>
        <w:fldChar w:fldCharType="separate"/>
      </w:r>
      <w:r>
        <w:rPr>
          <w:rStyle w:val="39"/>
          <w:rFonts w:ascii="宋体" w:hAnsi="宋体" w:cs="宋体"/>
        </w:rPr>
        <w:t xml:space="preserve">4.3 </w:t>
      </w:r>
      <w:r>
        <w:rPr>
          <w:rStyle w:val="39"/>
          <w:rFonts w:hint="eastAsia" w:hAnsi="宋体" w:cs="宋体"/>
        </w:rPr>
        <w:t>参数</w:t>
      </w:r>
      <w:r>
        <w:rPr>
          <w:rStyle w:val="39"/>
          <w:rFonts w:hint="eastAsia" w:ascii="宋体" w:hAnsi="宋体" w:cs="宋体"/>
        </w:rPr>
        <w:t>准确度</w:t>
      </w:r>
      <w:r>
        <w:rPr>
          <w:rStyle w:val="39"/>
          <w:rFonts w:hint="eastAsia" w:hAnsi="宋体" w:cs="宋体"/>
        </w:rPr>
        <w:t>及仪器设备</w:t>
      </w:r>
      <w:r>
        <w:rPr>
          <w:rFonts w:hAnsi="宋体" w:cs="宋体"/>
        </w:rPr>
        <w:tab/>
      </w:r>
      <w:r>
        <w:rPr>
          <w:rFonts w:hAnsi="宋体" w:cs="宋体"/>
        </w:rPr>
        <w:t>2</w:t>
      </w:r>
      <w:r>
        <w:rPr>
          <w:rFonts w:hAnsi="宋体" w:cs="宋体"/>
        </w:rPr>
        <w:fldChar w:fldCharType="end"/>
      </w:r>
    </w:p>
    <w:p>
      <w:pPr>
        <w:pStyle w:val="16"/>
        <w:tabs>
          <w:tab w:val="right" w:leader="dot" w:pos="9345"/>
        </w:tabs>
        <w:rPr>
          <w:rFonts w:hAnsi="宋体" w:cs="宋体"/>
          <w:kern w:val="2"/>
          <w:szCs w:val="22"/>
        </w:rPr>
      </w:pPr>
      <w:r>
        <w:fldChar w:fldCharType="begin"/>
      </w:r>
      <w:r>
        <w:instrText xml:space="preserve"> HYPERLINK \l "_Toc108784930" </w:instrText>
      </w:r>
      <w:r>
        <w:fldChar w:fldCharType="separate"/>
      </w:r>
      <w:r>
        <w:rPr>
          <w:rStyle w:val="39"/>
          <w:rFonts w:ascii="宋体" w:hAnsi="宋体" w:cs="宋体"/>
        </w:rPr>
        <w:t xml:space="preserve">5 </w:t>
      </w:r>
      <w:r>
        <w:rPr>
          <w:rStyle w:val="39"/>
          <w:rFonts w:hint="eastAsia" w:ascii="宋体" w:hAnsi="宋体" w:cs="宋体"/>
        </w:rPr>
        <w:t>鉴定内容和方法</w:t>
      </w:r>
      <w:r>
        <w:rPr>
          <w:rFonts w:hAnsi="宋体" w:cs="宋体"/>
        </w:rPr>
        <w:tab/>
      </w:r>
      <w:r>
        <w:rPr>
          <w:rFonts w:hAnsi="宋体" w:cs="宋体"/>
        </w:rPr>
        <w:fldChar w:fldCharType="begin"/>
      </w:r>
      <w:r>
        <w:rPr>
          <w:rFonts w:hAnsi="宋体" w:cs="宋体"/>
        </w:rPr>
        <w:instrText xml:space="preserve"> PAGEREF _Toc108784930 \h </w:instrText>
      </w:r>
      <w:r>
        <w:rPr>
          <w:rFonts w:hAnsi="宋体" w:cs="宋体"/>
        </w:rPr>
        <w:fldChar w:fldCharType="separate"/>
      </w:r>
      <w:r>
        <w:rPr>
          <w:rFonts w:hAnsi="宋体" w:cs="宋体"/>
        </w:rPr>
        <w:t>2</w:t>
      </w:r>
      <w:r>
        <w:rPr>
          <w:rFonts w:hAnsi="宋体" w:cs="宋体"/>
        </w:rPr>
        <w:fldChar w:fldCharType="end"/>
      </w:r>
      <w:r>
        <w:rPr>
          <w:rFonts w:hAnsi="宋体" w:cs="宋体"/>
        </w:rPr>
        <w:fldChar w:fldCharType="end"/>
      </w:r>
    </w:p>
    <w:p>
      <w:pPr>
        <w:pStyle w:val="15"/>
        <w:tabs>
          <w:tab w:val="right" w:leader="dot" w:pos="9345"/>
        </w:tabs>
        <w:rPr>
          <w:rFonts w:hAnsi="宋体" w:cs="宋体"/>
          <w:kern w:val="2"/>
          <w:szCs w:val="22"/>
        </w:rPr>
      </w:pPr>
      <w:r>
        <w:fldChar w:fldCharType="begin"/>
      </w:r>
      <w:r>
        <w:instrText xml:space="preserve"> HYPERLINK \l "_Toc108784931" </w:instrText>
      </w:r>
      <w:r>
        <w:fldChar w:fldCharType="separate"/>
      </w:r>
      <w:r>
        <w:rPr>
          <w:rStyle w:val="39"/>
          <w:rFonts w:ascii="宋体" w:hAnsi="宋体" w:cs="宋体"/>
        </w:rPr>
        <w:t>5.1</w:t>
      </w:r>
      <w:r>
        <w:rPr>
          <w:rStyle w:val="39"/>
          <w:rFonts w:hint="eastAsia" w:ascii="宋体" w:hAnsi="宋体" w:cs="宋体"/>
        </w:rPr>
        <w:t xml:space="preserve"> 一致性检查</w:t>
      </w:r>
      <w:r>
        <w:rPr>
          <w:rFonts w:hAnsi="宋体" w:cs="宋体"/>
        </w:rPr>
        <w:tab/>
      </w:r>
      <w:r>
        <w:rPr>
          <w:rFonts w:hAnsi="宋体" w:cs="宋体"/>
        </w:rPr>
        <w:fldChar w:fldCharType="begin"/>
      </w:r>
      <w:r>
        <w:rPr>
          <w:rFonts w:hAnsi="宋体" w:cs="宋体"/>
        </w:rPr>
        <w:instrText xml:space="preserve"> PAGEREF _Toc108784931 \h </w:instrText>
      </w:r>
      <w:r>
        <w:rPr>
          <w:rFonts w:hAnsi="宋体" w:cs="宋体"/>
        </w:rPr>
        <w:fldChar w:fldCharType="separate"/>
      </w:r>
      <w:r>
        <w:rPr>
          <w:rFonts w:hAnsi="宋体" w:cs="宋体"/>
        </w:rPr>
        <w:t>2</w:t>
      </w:r>
      <w:r>
        <w:rPr>
          <w:rFonts w:hAnsi="宋体" w:cs="宋体"/>
        </w:rPr>
        <w:fldChar w:fldCharType="end"/>
      </w:r>
      <w:r>
        <w:rPr>
          <w:rFonts w:hAnsi="宋体" w:cs="宋体"/>
        </w:rPr>
        <w:fldChar w:fldCharType="end"/>
      </w:r>
    </w:p>
    <w:p>
      <w:pPr>
        <w:pStyle w:val="15"/>
        <w:tabs>
          <w:tab w:val="right" w:leader="dot" w:pos="9345"/>
        </w:tabs>
        <w:rPr>
          <w:rFonts w:hAnsi="宋体" w:cs="宋体"/>
          <w:kern w:val="2"/>
          <w:szCs w:val="22"/>
        </w:rPr>
      </w:pPr>
      <w:r>
        <w:fldChar w:fldCharType="begin"/>
      </w:r>
      <w:r>
        <w:instrText xml:space="preserve"> HYPERLINK \l "_Toc108784932" </w:instrText>
      </w:r>
      <w:r>
        <w:fldChar w:fldCharType="separate"/>
      </w:r>
      <w:r>
        <w:rPr>
          <w:rStyle w:val="39"/>
          <w:rFonts w:ascii="宋体" w:hAnsi="宋体" w:cs="宋体"/>
        </w:rPr>
        <w:t>5.2</w:t>
      </w:r>
      <w:r>
        <w:rPr>
          <w:rStyle w:val="39"/>
          <w:rFonts w:hint="eastAsia" w:ascii="宋体" w:hAnsi="宋体" w:cs="宋体"/>
        </w:rPr>
        <w:t xml:space="preserve"> 创新性评价</w:t>
      </w:r>
      <w:r>
        <w:rPr>
          <w:rFonts w:hAnsi="宋体" w:cs="宋体"/>
        </w:rPr>
        <w:tab/>
      </w:r>
      <w:r>
        <w:rPr>
          <w:rFonts w:hAnsi="宋体" w:cs="宋体"/>
        </w:rPr>
        <w:t>3</w:t>
      </w:r>
      <w:r>
        <w:rPr>
          <w:rFonts w:hAnsi="宋体" w:cs="宋体"/>
        </w:rPr>
        <w:fldChar w:fldCharType="end"/>
      </w:r>
    </w:p>
    <w:p>
      <w:pPr>
        <w:pStyle w:val="15"/>
        <w:tabs>
          <w:tab w:val="right" w:leader="dot" w:pos="9345"/>
        </w:tabs>
        <w:rPr>
          <w:rFonts w:hAnsi="宋体" w:cs="宋体"/>
          <w:kern w:val="2"/>
          <w:szCs w:val="22"/>
        </w:rPr>
      </w:pPr>
      <w:r>
        <w:fldChar w:fldCharType="begin"/>
      </w:r>
      <w:r>
        <w:instrText xml:space="preserve"> HYPERLINK \l "_Toc108784933" </w:instrText>
      </w:r>
      <w:r>
        <w:fldChar w:fldCharType="separate"/>
      </w:r>
      <w:r>
        <w:rPr>
          <w:rStyle w:val="39"/>
          <w:rFonts w:ascii="宋体" w:hAnsi="宋体" w:cs="宋体"/>
        </w:rPr>
        <w:t>5.3</w:t>
      </w:r>
      <w:r>
        <w:rPr>
          <w:rStyle w:val="39"/>
          <w:rFonts w:hint="eastAsia" w:ascii="宋体" w:hAnsi="宋体" w:cs="宋体"/>
        </w:rPr>
        <w:t xml:space="preserve"> 安全性检查</w:t>
      </w:r>
      <w:r>
        <w:rPr>
          <w:rFonts w:hAnsi="宋体" w:cs="宋体"/>
        </w:rPr>
        <w:tab/>
      </w:r>
      <w:r>
        <w:rPr>
          <w:rFonts w:hAnsi="宋体" w:cs="宋体"/>
        </w:rPr>
        <w:fldChar w:fldCharType="begin"/>
      </w:r>
      <w:r>
        <w:rPr>
          <w:rFonts w:hAnsi="宋体" w:cs="宋体"/>
        </w:rPr>
        <w:instrText xml:space="preserve"> PAGEREF _Toc108784933 \h </w:instrText>
      </w:r>
      <w:r>
        <w:rPr>
          <w:rFonts w:hAnsi="宋体" w:cs="宋体"/>
        </w:rPr>
        <w:fldChar w:fldCharType="separate"/>
      </w:r>
      <w:r>
        <w:rPr>
          <w:rFonts w:hAnsi="宋体" w:cs="宋体"/>
        </w:rPr>
        <w:t>3</w:t>
      </w:r>
      <w:r>
        <w:rPr>
          <w:rFonts w:hAnsi="宋体" w:cs="宋体"/>
        </w:rPr>
        <w:fldChar w:fldCharType="end"/>
      </w:r>
      <w:r>
        <w:rPr>
          <w:rFonts w:hAnsi="宋体" w:cs="宋体"/>
        </w:rPr>
        <w:fldChar w:fldCharType="end"/>
      </w:r>
    </w:p>
    <w:p>
      <w:pPr>
        <w:pStyle w:val="15"/>
        <w:tabs>
          <w:tab w:val="right" w:leader="dot" w:pos="9345"/>
        </w:tabs>
        <w:rPr>
          <w:rFonts w:hAnsi="宋体" w:cs="宋体"/>
          <w:kern w:val="2"/>
          <w:szCs w:val="22"/>
        </w:rPr>
      </w:pPr>
      <w:r>
        <w:fldChar w:fldCharType="begin"/>
      </w:r>
      <w:r>
        <w:instrText xml:space="preserve"> HYPERLINK \l "_Toc108784934" </w:instrText>
      </w:r>
      <w:r>
        <w:fldChar w:fldCharType="separate"/>
      </w:r>
      <w:r>
        <w:rPr>
          <w:rStyle w:val="39"/>
          <w:rFonts w:ascii="宋体" w:hAnsi="宋体" w:cs="宋体"/>
        </w:rPr>
        <w:t>5.4</w:t>
      </w:r>
      <w:r>
        <w:rPr>
          <w:rStyle w:val="39"/>
          <w:rFonts w:hint="eastAsia" w:ascii="宋体" w:hAnsi="宋体" w:cs="宋体"/>
        </w:rPr>
        <w:t xml:space="preserve"> 适用地区性能试验</w:t>
      </w:r>
      <w:r>
        <w:rPr>
          <w:rFonts w:hAnsi="宋体" w:cs="宋体"/>
        </w:rPr>
        <w:tab/>
      </w:r>
      <w:r>
        <w:rPr>
          <w:rFonts w:hAnsi="宋体" w:cs="宋体"/>
        </w:rPr>
        <w:fldChar w:fldCharType="begin"/>
      </w:r>
      <w:r>
        <w:rPr>
          <w:rFonts w:hAnsi="宋体" w:cs="宋体"/>
        </w:rPr>
        <w:instrText xml:space="preserve"> PAGEREF _Toc108784934 \h </w:instrText>
      </w:r>
      <w:r>
        <w:rPr>
          <w:rFonts w:hAnsi="宋体" w:cs="宋体"/>
        </w:rPr>
        <w:fldChar w:fldCharType="separate"/>
      </w:r>
      <w:r>
        <w:rPr>
          <w:rFonts w:hAnsi="宋体" w:cs="宋体"/>
        </w:rPr>
        <w:t>4</w:t>
      </w:r>
      <w:r>
        <w:rPr>
          <w:rFonts w:hAnsi="宋体" w:cs="宋体"/>
        </w:rPr>
        <w:fldChar w:fldCharType="end"/>
      </w:r>
      <w:r>
        <w:rPr>
          <w:rFonts w:hAnsi="宋体" w:cs="宋体"/>
        </w:rPr>
        <w:fldChar w:fldCharType="end"/>
      </w:r>
    </w:p>
    <w:p>
      <w:pPr>
        <w:pStyle w:val="15"/>
        <w:tabs>
          <w:tab w:val="right" w:leader="dot" w:pos="9345"/>
        </w:tabs>
        <w:rPr>
          <w:rFonts w:hAnsi="宋体" w:cs="宋体"/>
          <w:kern w:val="2"/>
          <w:szCs w:val="22"/>
        </w:rPr>
      </w:pPr>
      <w:r>
        <w:fldChar w:fldCharType="begin"/>
      </w:r>
      <w:r>
        <w:instrText xml:space="preserve"> HYPERLINK \l "_Toc108784935" </w:instrText>
      </w:r>
      <w:r>
        <w:fldChar w:fldCharType="separate"/>
      </w:r>
      <w:r>
        <w:rPr>
          <w:rStyle w:val="39"/>
          <w:rFonts w:ascii="宋体" w:hAnsi="宋体" w:cs="宋体"/>
        </w:rPr>
        <w:t xml:space="preserve">5.5 </w:t>
      </w:r>
      <w:r>
        <w:rPr>
          <w:rStyle w:val="39"/>
          <w:rFonts w:hint="eastAsia" w:ascii="宋体" w:hAnsi="宋体" w:cs="宋体"/>
        </w:rPr>
        <w:t>综合判定规则</w:t>
      </w:r>
      <w:r>
        <w:rPr>
          <w:rFonts w:hAnsi="宋体" w:cs="宋体"/>
        </w:rPr>
        <w:tab/>
      </w:r>
      <w:r>
        <w:rPr>
          <w:rFonts w:hAnsi="宋体" w:cs="宋体"/>
        </w:rPr>
        <w:t>5</w:t>
      </w:r>
      <w:r>
        <w:rPr>
          <w:rFonts w:hAnsi="宋体" w:cs="宋体"/>
        </w:rPr>
        <w:fldChar w:fldCharType="end"/>
      </w:r>
    </w:p>
    <w:p>
      <w:pPr>
        <w:pStyle w:val="17"/>
        <w:tabs>
          <w:tab w:val="right" w:leader="dot" w:pos="9345"/>
        </w:tabs>
        <w:rPr>
          <w:rFonts w:asciiTheme="minorHAnsi" w:hAnsiTheme="minorHAnsi" w:eastAsiaTheme="minorEastAsia" w:cstheme="minorBidi"/>
          <w:kern w:val="2"/>
          <w:szCs w:val="22"/>
        </w:rPr>
      </w:pPr>
      <w:r>
        <w:fldChar w:fldCharType="begin"/>
      </w:r>
      <w:r>
        <w:instrText xml:space="preserve"> HYPERLINK \l "_Toc108784936" </w:instrText>
      </w:r>
      <w:r>
        <w:fldChar w:fldCharType="separate"/>
      </w:r>
      <w:r>
        <w:rPr>
          <w:rStyle w:val="39"/>
          <w:rFonts w:hint="eastAsia" w:ascii="宋体" w:hAnsi="宋体" w:cs="宋体"/>
        </w:rPr>
        <w:t>附录</w:t>
      </w:r>
      <w:r>
        <w:rPr>
          <w:rStyle w:val="39"/>
          <w:rFonts w:ascii="宋体" w:hAnsi="宋体" w:cs="宋体"/>
        </w:rPr>
        <w:t>A</w:t>
      </w:r>
      <w:r>
        <w:rPr>
          <w:rStyle w:val="39"/>
          <w:rFonts w:hint="eastAsia" w:ascii="宋体" w:hAnsi="宋体" w:cs="宋体"/>
        </w:rPr>
        <w:t>（规范性附录）产品规格表</w:t>
      </w:r>
      <w:r>
        <w:rPr>
          <w:rFonts w:hAnsi="宋体" w:cs="宋体"/>
        </w:rPr>
        <w:tab/>
      </w:r>
      <w:r>
        <w:rPr>
          <w:rFonts w:hAnsi="宋体" w:cs="宋体"/>
        </w:rPr>
        <w:fldChar w:fldCharType="begin"/>
      </w:r>
      <w:r>
        <w:rPr>
          <w:rFonts w:hAnsi="宋体" w:cs="宋体"/>
        </w:rPr>
        <w:instrText xml:space="preserve"> PAGEREF _Toc108784936 \h </w:instrText>
      </w:r>
      <w:r>
        <w:rPr>
          <w:rFonts w:hAnsi="宋体" w:cs="宋体"/>
        </w:rPr>
        <w:fldChar w:fldCharType="separate"/>
      </w:r>
      <w:r>
        <w:rPr>
          <w:rFonts w:hAnsi="宋体" w:cs="宋体"/>
        </w:rPr>
        <w:t>6</w:t>
      </w:r>
      <w:r>
        <w:rPr>
          <w:rFonts w:hAnsi="宋体" w:cs="宋体"/>
        </w:rPr>
        <w:fldChar w:fldCharType="end"/>
      </w:r>
      <w:r>
        <w:rPr>
          <w:rFonts w:hAnsi="宋体" w:cs="宋体"/>
        </w:rPr>
        <w:fldChar w:fldCharType="end"/>
      </w:r>
    </w:p>
    <w:p>
      <w:pPr>
        <w:rPr>
          <w:rFonts w:ascii="宋体" w:hAnsi="宋体"/>
          <w:b/>
          <w:bCs/>
          <w:lang w:val="zh-CN"/>
        </w:rPr>
      </w:pPr>
      <w:r>
        <w:rPr>
          <w:rFonts w:asciiTheme="minorEastAsia" w:hAnsiTheme="minorEastAsia" w:eastAsiaTheme="minorEastAsia"/>
          <w:kern w:val="0"/>
          <w:szCs w:val="20"/>
        </w:rPr>
        <w:fldChar w:fldCharType="end"/>
      </w:r>
    </w:p>
    <w:p>
      <w:pPr>
        <w:pStyle w:val="87"/>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tabs>
          <w:tab w:val="left" w:pos="5460"/>
        </w:tabs>
        <w:rPr>
          <w:lang w:val="zh-CN"/>
        </w:rPr>
      </w:pPr>
      <w:r>
        <w:rPr>
          <w:lang w:val="zh-CN"/>
        </w:rPr>
        <w:tab/>
      </w:r>
    </w:p>
    <w:p>
      <w:pPr>
        <w:rPr>
          <w:lang w:val="zh-CN"/>
        </w:rPr>
      </w:pPr>
    </w:p>
    <w:p>
      <w:pPr>
        <w:rPr>
          <w:lang w:val="zh-CN"/>
        </w:rPr>
      </w:pPr>
    </w:p>
    <w:p>
      <w:pPr>
        <w:rPr>
          <w:lang w:val="zh-CN"/>
        </w:rPr>
      </w:pPr>
    </w:p>
    <w:p>
      <w:pPr>
        <w:rPr>
          <w:lang w:val="zh-CN"/>
        </w:rPr>
      </w:pPr>
    </w:p>
    <w:p>
      <w:pPr>
        <w:pStyle w:val="87"/>
      </w:pPr>
      <w:r>
        <w:rPr>
          <w:lang w:val="zh-CN"/>
        </w:rPr>
        <w:br w:type="page"/>
      </w:r>
      <w:bookmarkStart w:id="3" w:name="_Toc467619444"/>
      <w:bookmarkStart w:id="4" w:name="_Toc108784921"/>
      <w:bookmarkStart w:id="5" w:name="_Toc79049485"/>
      <w:bookmarkStart w:id="6" w:name="_Toc450038301"/>
      <w:r>
        <w:rPr>
          <w:rFonts w:hint="eastAsia"/>
        </w:rPr>
        <w:t>前    言</w:t>
      </w:r>
      <w:bookmarkEnd w:id="3"/>
      <w:bookmarkEnd w:id="4"/>
      <w:bookmarkEnd w:id="5"/>
      <w:bookmarkEnd w:id="6"/>
    </w:p>
    <w:p>
      <w:pPr>
        <w:pStyle w:val="50"/>
        <w:ind w:firstLine="420"/>
      </w:pPr>
      <w:r>
        <w:rPr>
          <w:rFonts w:hint="eastAsia"/>
          <w:szCs w:val="21"/>
        </w:rPr>
        <w:t>本大纲依据TZ</w:t>
      </w:r>
      <w:r>
        <w:rPr>
          <w:szCs w:val="21"/>
        </w:rPr>
        <w:t xml:space="preserve"> 6</w:t>
      </w:r>
      <w:r>
        <w:rPr>
          <w:rFonts w:hint="eastAsia"/>
          <w:szCs w:val="21"/>
        </w:rPr>
        <w:t>—</w:t>
      </w:r>
      <w:r>
        <w:rPr>
          <w:rFonts w:hint="eastAsia" w:cs="宋体"/>
        </w:rPr>
        <w:t>2</w:t>
      </w:r>
      <w:r>
        <w:rPr>
          <w:rFonts w:cs="宋体"/>
        </w:rPr>
        <w:t>021</w:t>
      </w:r>
      <w:r>
        <w:rPr>
          <w:rFonts w:hint="eastAsia"/>
          <w:szCs w:val="21"/>
        </w:rPr>
        <w:t>《农业机械专项鉴定大纲编写规则》编制</w:t>
      </w:r>
      <w:r>
        <w:rPr>
          <w:rFonts w:hint="eastAsia"/>
        </w:rPr>
        <w:t>。</w:t>
      </w:r>
    </w:p>
    <w:p>
      <w:pPr>
        <w:pStyle w:val="50"/>
        <w:ind w:firstLine="420"/>
      </w:pPr>
      <w:r>
        <w:rPr>
          <w:rFonts w:hint="eastAsia"/>
        </w:rPr>
        <w:t>本大纲为首次制定。</w:t>
      </w:r>
    </w:p>
    <w:p>
      <w:pPr>
        <w:pStyle w:val="50"/>
        <w:ind w:firstLine="420"/>
      </w:pPr>
      <w:r>
        <w:rPr>
          <w:rFonts w:hint="eastAsia"/>
        </w:rPr>
        <w:t>本大纲由上海市农业农村委员会提出。</w:t>
      </w:r>
    </w:p>
    <w:p>
      <w:pPr>
        <w:pStyle w:val="50"/>
        <w:ind w:firstLine="420"/>
        <w:rPr>
          <w:color w:val="auto"/>
        </w:rPr>
      </w:pPr>
      <w:r>
        <w:rPr>
          <w:rFonts w:hint="eastAsia"/>
        </w:rPr>
        <w:t>本大</w:t>
      </w:r>
      <w:r>
        <w:rPr>
          <w:rFonts w:hint="eastAsia"/>
          <w:color w:val="auto"/>
        </w:rPr>
        <w:t>纲由农业农村部农业机械化总站海洋捕捞与养殖机械专业站技术归口。</w:t>
      </w:r>
    </w:p>
    <w:p>
      <w:pPr>
        <w:pStyle w:val="50"/>
        <w:ind w:firstLine="420"/>
        <w:rPr>
          <w:rFonts w:hAnsi="宋体"/>
          <w:color w:val="auto"/>
        </w:rPr>
      </w:pPr>
      <w:r>
        <w:rPr>
          <w:rFonts w:hint="eastAsia"/>
          <w:color w:val="auto"/>
        </w:rPr>
        <w:t>本大纲起草单位：中国水产科学研究院渔业机械仪器研究所、荣成博能食品机械有限公司、荣成市荣金海洋科技有限公司</w:t>
      </w:r>
      <w:r>
        <w:rPr>
          <w:rFonts w:hint="eastAsia" w:hAnsi="宋体"/>
          <w:color w:val="auto"/>
        </w:rPr>
        <w:t>。</w:t>
      </w:r>
    </w:p>
    <w:p>
      <w:pPr>
        <w:pStyle w:val="50"/>
        <w:ind w:firstLine="420"/>
        <w:rPr>
          <w:rFonts w:hAnsi="宋体"/>
          <w:color w:val="auto"/>
        </w:rPr>
      </w:pPr>
      <w:r>
        <w:rPr>
          <w:rFonts w:hint="eastAsia" w:hAnsi="宋体"/>
          <w:color w:val="auto"/>
        </w:rPr>
        <w:t>本大纲主要起草人：高翔、闫荣金、彭治军、闫华超、周荣、郑晓伟、沈建、杨猛。</w:t>
      </w:r>
    </w:p>
    <w:p>
      <w:pPr>
        <w:pStyle w:val="50"/>
        <w:ind w:firstLine="420"/>
        <w:rPr>
          <w:color w:val="auto"/>
        </w:rPr>
        <w:sectPr>
          <w:headerReference r:id="rId9" w:type="default"/>
          <w:footerReference r:id="rId10" w:type="default"/>
          <w:pgSz w:w="11907" w:h="16839"/>
          <w:pgMar w:top="1418" w:right="1134" w:bottom="1134" w:left="1418" w:header="1020" w:footer="1020" w:gutter="0"/>
          <w:pgNumType w:fmt="upperRoman" w:start="1"/>
          <w:cols w:space="720" w:num="1"/>
          <w:docGrid w:type="linesAndChars" w:linePitch="312" w:charSpace="0"/>
        </w:sectPr>
      </w:pPr>
    </w:p>
    <w:bookmarkEnd w:id="2"/>
    <w:p>
      <w:pPr>
        <w:pStyle w:val="87"/>
      </w:pPr>
      <w:bookmarkStart w:id="7" w:name="_Toc108784922"/>
      <w:bookmarkStart w:id="8" w:name="SectionMark4"/>
      <w:r>
        <w:rPr>
          <w:rFonts w:hint="eastAsia"/>
        </w:rPr>
        <w:t>牡蛎采收机</w:t>
      </w:r>
      <w:bookmarkEnd w:id="7"/>
      <w:r>
        <w:rPr>
          <w:rFonts w:hint="eastAsia"/>
        </w:rPr>
        <w:t xml:space="preserve"> </w:t>
      </w:r>
    </w:p>
    <w:p>
      <w:pPr>
        <w:pStyle w:val="91"/>
        <w:tabs>
          <w:tab w:val="left" w:pos="4515"/>
        </w:tabs>
        <w:spacing w:before="312" w:beforeLines="100" w:after="312" w:afterLines="100"/>
      </w:pPr>
      <w:bookmarkStart w:id="9" w:name="_Toc79049487"/>
      <w:bookmarkStart w:id="10" w:name="_Toc108784923"/>
      <w:bookmarkStart w:id="11" w:name="_Toc467619446"/>
      <w:bookmarkStart w:id="12" w:name="_Toc450038303"/>
      <w:r>
        <w:rPr>
          <w:rFonts w:hint="eastAsia"/>
        </w:rPr>
        <w:t>范围</w:t>
      </w:r>
      <w:bookmarkEnd w:id="9"/>
      <w:bookmarkEnd w:id="10"/>
      <w:bookmarkEnd w:id="11"/>
      <w:bookmarkEnd w:id="12"/>
    </w:p>
    <w:p>
      <w:pPr>
        <w:pStyle w:val="50"/>
        <w:ind w:firstLine="420"/>
        <w:rPr>
          <w:rFonts w:hAnsi="宋体"/>
        </w:rPr>
      </w:pPr>
      <w:r>
        <w:rPr>
          <w:rFonts w:hint="eastAsia" w:hAnsi="宋体"/>
        </w:rPr>
        <w:t>本大纲规定了</w:t>
      </w:r>
      <w:r>
        <w:rPr>
          <w:rFonts w:hint="eastAsia"/>
        </w:rPr>
        <w:t>牡蛎采收机专项</w:t>
      </w:r>
      <w:r>
        <w:rPr>
          <w:rFonts w:hint="eastAsia" w:hAnsi="宋体"/>
        </w:rPr>
        <w:t>鉴定的鉴定</w:t>
      </w:r>
      <w:r>
        <w:rPr>
          <w:rFonts w:hint="eastAsia"/>
        </w:rPr>
        <w:t>内容、</w:t>
      </w:r>
      <w:r>
        <w:rPr>
          <w:rFonts w:hint="eastAsia" w:hAnsi="宋体"/>
        </w:rPr>
        <w:t>方法和判定规则。</w:t>
      </w:r>
    </w:p>
    <w:p>
      <w:pPr>
        <w:pStyle w:val="50"/>
        <w:ind w:firstLine="420"/>
      </w:pPr>
      <w:r>
        <w:rPr>
          <w:rFonts w:hint="eastAsia" w:hAnsi="宋体"/>
        </w:rPr>
        <w:t>本大纲适用于延绳式筏架养殖模式牡蛎</w:t>
      </w:r>
      <w:r>
        <w:rPr>
          <w:rFonts w:hint="eastAsia"/>
        </w:rPr>
        <w:t>采收机（以下简称采收机）</w:t>
      </w:r>
      <w:r>
        <w:rPr>
          <w:rFonts w:hint="eastAsia" w:hAnsi="宋体"/>
        </w:rPr>
        <w:t>的专项鉴定。</w:t>
      </w:r>
    </w:p>
    <w:p>
      <w:pPr>
        <w:pStyle w:val="91"/>
        <w:tabs>
          <w:tab w:val="left" w:pos="4515"/>
        </w:tabs>
        <w:spacing w:before="312" w:beforeLines="100" w:after="312" w:afterLines="100"/>
      </w:pPr>
      <w:bookmarkStart w:id="13" w:name="_Toc450038304"/>
      <w:bookmarkStart w:id="14" w:name="_Toc108784924"/>
      <w:bookmarkStart w:id="15" w:name="_Toc467619447"/>
      <w:bookmarkStart w:id="16" w:name="_Toc79049488"/>
      <w:r>
        <w:rPr>
          <w:rFonts w:hint="eastAsia"/>
        </w:rPr>
        <w:t>规范性引用文件</w:t>
      </w:r>
      <w:bookmarkEnd w:id="13"/>
      <w:bookmarkEnd w:id="14"/>
      <w:bookmarkEnd w:id="15"/>
      <w:bookmarkEnd w:id="16"/>
    </w:p>
    <w:p>
      <w:pPr>
        <w:ind w:firstLine="420" w:firstLineChars="200"/>
        <w:rPr>
          <w:rFonts w:ascii="宋体"/>
          <w:kern w:val="0"/>
          <w:szCs w:val="20"/>
        </w:rPr>
      </w:pPr>
      <w:r>
        <w:rPr>
          <w:rFonts w:hint="eastAsia" w:ascii="宋体"/>
          <w:kern w:val="0"/>
          <w:szCs w:val="20"/>
        </w:rPr>
        <w:t>下列文件对于本文件的应用是必不可少的。凡是注日期的引用文件，仅注日期的版本适用于本文件。凡是不注日期的引用文件，其最新版本（包括所有的修改单）适用于本文件。</w:t>
      </w:r>
    </w:p>
    <w:p>
      <w:pPr>
        <w:ind w:firstLine="420" w:firstLineChars="200"/>
        <w:rPr>
          <w:rFonts w:ascii="宋体"/>
          <w:kern w:val="0"/>
          <w:szCs w:val="20"/>
        </w:rPr>
      </w:pPr>
      <w:r>
        <w:rPr>
          <w:rFonts w:hint="eastAsia" w:ascii="宋体"/>
          <w:kern w:val="0"/>
          <w:szCs w:val="20"/>
        </w:rPr>
        <w:t>GB 10395.1  农林机械  安全  第1部分：总则</w:t>
      </w:r>
    </w:p>
    <w:p>
      <w:pPr>
        <w:ind w:firstLine="420" w:firstLineChars="200"/>
        <w:rPr>
          <w:rFonts w:ascii="宋体" w:hAnsi="宋体"/>
        </w:rPr>
      </w:pPr>
      <w:r>
        <w:rPr>
          <w:rFonts w:hint="eastAsia" w:ascii="宋体"/>
          <w:kern w:val="0"/>
          <w:szCs w:val="20"/>
        </w:rPr>
        <w:t>GB 10396  农林拖拉机和机械、草坪和园艺动力机械  安全标志和危险图形  总则</w:t>
      </w:r>
    </w:p>
    <w:bookmarkEnd w:id="8"/>
    <w:p>
      <w:pPr>
        <w:pStyle w:val="91"/>
        <w:tabs>
          <w:tab w:val="left" w:pos="4515"/>
        </w:tabs>
        <w:spacing w:before="312" w:beforeLines="100" w:after="312" w:afterLines="100"/>
      </w:pPr>
      <w:bookmarkStart w:id="17" w:name="_Toc108784925"/>
      <w:bookmarkStart w:id="18" w:name="_Toc79049489"/>
      <w:bookmarkStart w:id="19" w:name="_Toc467619448"/>
      <w:bookmarkStart w:id="20" w:name="_Toc450038305"/>
      <w:r>
        <w:rPr>
          <w:rFonts w:hint="eastAsia"/>
        </w:rPr>
        <w:t>术语和定义</w:t>
      </w:r>
      <w:bookmarkEnd w:id="17"/>
    </w:p>
    <w:p>
      <w:pPr>
        <w:pStyle w:val="50"/>
        <w:ind w:firstLine="420"/>
      </w:pPr>
      <w:r>
        <w:rPr>
          <w:rFonts w:hint="eastAsia"/>
        </w:rPr>
        <w:t>下列术语和定义适用本文件。</w:t>
      </w:r>
    </w:p>
    <w:p>
      <w:pPr>
        <w:pStyle w:val="50"/>
        <w:spacing w:before="156" w:beforeLines="50" w:after="156" w:afterLines="50"/>
        <w:ind w:firstLine="0" w:firstLineChars="0"/>
        <w:rPr>
          <w:rFonts w:ascii="黑体" w:hAnsi="黑体" w:eastAsia="黑体" w:cs="黑体"/>
        </w:rPr>
      </w:pPr>
      <w:r>
        <w:rPr>
          <w:rFonts w:ascii="黑体" w:hAnsi="黑体" w:eastAsia="黑体" w:cs="黑体"/>
        </w:rPr>
        <w:t>3.1</w:t>
      </w:r>
      <w:r>
        <w:rPr>
          <w:rFonts w:hint="eastAsia" w:ascii="黑体" w:hAnsi="黑体" w:eastAsia="黑体" w:cs="黑体"/>
        </w:rPr>
        <w:t xml:space="preserve">  </w:t>
      </w:r>
    </w:p>
    <w:p>
      <w:pPr>
        <w:pStyle w:val="50"/>
        <w:spacing w:before="156" w:beforeLines="50" w:after="156" w:afterLines="50"/>
        <w:ind w:firstLine="420"/>
        <w:rPr>
          <w:rFonts w:ascii="黑体" w:hAnsi="黑体" w:eastAsia="黑体" w:cs="黑体"/>
        </w:rPr>
      </w:pPr>
      <w:r>
        <w:rPr>
          <w:rFonts w:hint="eastAsia" w:ascii="黑体" w:hAnsi="黑体" w:eastAsia="黑体" w:cs="黑体"/>
        </w:rPr>
        <w:t>牡蛎采收机</w:t>
      </w:r>
    </w:p>
    <w:p>
      <w:pPr>
        <w:pStyle w:val="50"/>
        <w:ind w:firstLine="420"/>
      </w:pPr>
      <w:r>
        <w:rPr>
          <w:rFonts w:hint="eastAsia"/>
        </w:rPr>
        <w:t>利用动力牵引装置拖动延绳式筏架和养殖牡蛎，能够实现牡蛎分离、收集的机械。</w:t>
      </w:r>
    </w:p>
    <w:p>
      <w:pPr>
        <w:pStyle w:val="50"/>
        <w:spacing w:before="156" w:beforeLines="50" w:after="156" w:afterLines="50"/>
        <w:ind w:firstLine="0" w:firstLineChars="0"/>
        <w:rPr>
          <w:rFonts w:ascii="黑体" w:hAnsi="黑体" w:eastAsia="黑体" w:cs="黑体"/>
        </w:rPr>
      </w:pPr>
      <w:r>
        <w:rPr>
          <w:rFonts w:ascii="黑体" w:hAnsi="黑体" w:eastAsia="黑体" w:cs="黑体"/>
        </w:rPr>
        <w:t>3.2</w:t>
      </w:r>
    </w:p>
    <w:p>
      <w:pPr>
        <w:pStyle w:val="50"/>
        <w:spacing w:before="156" w:beforeLines="50" w:after="156" w:afterLines="50"/>
        <w:ind w:firstLine="420"/>
        <w:rPr>
          <w:rFonts w:ascii="黑体" w:hAnsi="黑体" w:eastAsia="黑体" w:cs="黑体"/>
        </w:rPr>
      </w:pPr>
      <w:r>
        <w:rPr>
          <w:rFonts w:hint="eastAsia" w:ascii="黑体" w:hAnsi="黑体" w:eastAsia="黑体" w:cs="黑体"/>
        </w:rPr>
        <w:t>延绳式筏架</w:t>
      </w:r>
    </w:p>
    <w:p>
      <w:pPr>
        <w:pStyle w:val="50"/>
        <w:ind w:firstLine="420"/>
      </w:pPr>
      <w:r>
        <w:rPr>
          <w:rFonts w:hint="eastAsia"/>
        </w:rPr>
        <w:t>利用缆绳、浮球、索具、锚定等装置制作的，浮于海面固定位置，用于牡蛎吊养或笼养的设施。。</w:t>
      </w:r>
    </w:p>
    <w:p>
      <w:pPr>
        <w:pStyle w:val="50"/>
        <w:spacing w:before="156" w:beforeLines="50" w:after="156" w:afterLines="50"/>
        <w:ind w:firstLine="0" w:firstLineChars="0"/>
        <w:rPr>
          <w:rFonts w:ascii="黑体" w:hAnsi="黑体" w:eastAsia="黑体" w:cs="黑体"/>
        </w:rPr>
      </w:pPr>
      <w:r>
        <w:rPr>
          <w:rFonts w:ascii="黑体" w:hAnsi="黑体" w:eastAsia="黑体" w:cs="黑体"/>
        </w:rPr>
        <w:t>3.3</w:t>
      </w:r>
    </w:p>
    <w:p>
      <w:pPr>
        <w:pStyle w:val="50"/>
        <w:spacing w:before="156" w:beforeLines="50" w:after="156" w:afterLines="50"/>
        <w:ind w:firstLine="420"/>
        <w:rPr>
          <w:rFonts w:ascii="黑体" w:hAnsi="黑体" w:eastAsia="黑体" w:cs="黑体"/>
        </w:rPr>
      </w:pPr>
      <w:r>
        <w:rPr>
          <w:rFonts w:hint="eastAsia" w:ascii="黑体" w:hAnsi="黑体" w:eastAsia="黑体" w:cs="黑体"/>
        </w:rPr>
        <w:t>牵引导轮</w:t>
      </w:r>
    </w:p>
    <w:p>
      <w:pPr>
        <w:pStyle w:val="50"/>
        <w:ind w:firstLine="420"/>
      </w:pPr>
      <w:r>
        <w:rPr>
          <w:rFonts w:hint="eastAsia"/>
        </w:rPr>
        <w:t>用液压动力和传动装置驱动的V型槽转轮，用于将延绳置于V形槽中，利用延绳重力在V形槽内形成摩擦力，在转轮转动下拖动延绳直线运动。</w:t>
      </w:r>
    </w:p>
    <w:p>
      <w:pPr>
        <w:pStyle w:val="50"/>
        <w:spacing w:before="156" w:beforeLines="50" w:after="156" w:afterLines="50"/>
        <w:ind w:firstLine="0" w:firstLineChars="0"/>
        <w:rPr>
          <w:rFonts w:ascii="黑体" w:hAnsi="黑体" w:eastAsia="黑体" w:cs="黑体"/>
        </w:rPr>
      </w:pPr>
      <w:r>
        <w:rPr>
          <w:rFonts w:ascii="黑体" w:hAnsi="黑体" w:eastAsia="黑体" w:cs="黑体"/>
        </w:rPr>
        <w:t>3.4</w:t>
      </w:r>
    </w:p>
    <w:p>
      <w:pPr>
        <w:pStyle w:val="50"/>
        <w:spacing w:before="156" w:beforeLines="50" w:after="156" w:afterLines="50"/>
        <w:ind w:firstLine="420"/>
        <w:rPr>
          <w:rFonts w:ascii="黑体" w:hAnsi="黑体" w:eastAsia="黑体" w:cs="黑体"/>
        </w:rPr>
      </w:pPr>
      <w:r>
        <w:rPr>
          <w:rFonts w:hint="eastAsia" w:ascii="黑体" w:hAnsi="黑体" w:eastAsia="黑体" w:cs="黑体"/>
        </w:rPr>
        <w:t>苗绳</w:t>
      </w:r>
    </w:p>
    <w:p>
      <w:pPr>
        <w:pStyle w:val="50"/>
        <w:ind w:firstLine="420"/>
      </w:pPr>
      <w:r>
        <w:rPr>
          <w:rFonts w:hint="eastAsia"/>
        </w:rPr>
        <w:t xml:space="preserve">悬挂于延绳式筏架上，用于附着牡蛎养殖的绳索。 </w:t>
      </w:r>
    </w:p>
    <w:p>
      <w:pPr>
        <w:pStyle w:val="50"/>
        <w:spacing w:before="156" w:beforeLines="50" w:after="156" w:afterLines="50"/>
        <w:ind w:firstLine="0" w:firstLineChars="0"/>
        <w:rPr>
          <w:rFonts w:ascii="黑体" w:hAnsi="黑体" w:eastAsia="黑体" w:cs="黑体"/>
        </w:rPr>
      </w:pPr>
      <w:r>
        <w:rPr>
          <w:rFonts w:ascii="黑体" w:hAnsi="黑体" w:eastAsia="黑体" w:cs="黑体"/>
        </w:rPr>
        <w:t>3.5</w:t>
      </w:r>
    </w:p>
    <w:p>
      <w:pPr>
        <w:pStyle w:val="50"/>
        <w:spacing w:before="156" w:beforeLines="50" w:after="156" w:afterLines="50"/>
        <w:ind w:firstLine="420"/>
        <w:rPr>
          <w:rFonts w:ascii="黑体" w:hAnsi="黑体" w:eastAsia="黑体" w:cs="黑体"/>
        </w:rPr>
      </w:pPr>
      <w:r>
        <w:rPr>
          <w:rFonts w:hint="eastAsia" w:ascii="黑体" w:hAnsi="黑体" w:eastAsia="黑体" w:cs="黑体"/>
        </w:rPr>
        <w:t>抬升高度</w:t>
      </w:r>
    </w:p>
    <w:p>
      <w:pPr>
        <w:pStyle w:val="50"/>
        <w:ind w:firstLine="420"/>
      </w:pPr>
      <w:r>
        <w:rPr>
          <w:rFonts w:hint="eastAsia"/>
        </w:rPr>
        <w:t>牵引导轮将延绳抬升出海面，延绳最高点距离海面的垂直高度。</w:t>
      </w:r>
    </w:p>
    <w:p>
      <w:pPr>
        <w:pStyle w:val="50"/>
        <w:spacing w:before="156" w:beforeLines="50" w:after="156" w:afterLines="50"/>
        <w:ind w:firstLine="0" w:firstLineChars="0"/>
        <w:rPr>
          <w:rFonts w:ascii="黑体" w:hAnsi="黑体" w:eastAsia="黑体" w:cs="黑体"/>
        </w:rPr>
      </w:pPr>
      <w:r>
        <w:rPr>
          <w:rFonts w:ascii="黑体" w:hAnsi="黑体" w:eastAsia="黑体" w:cs="黑体"/>
        </w:rPr>
        <w:t>3.6</w:t>
      </w:r>
    </w:p>
    <w:p>
      <w:pPr>
        <w:pStyle w:val="50"/>
        <w:spacing w:before="156" w:beforeLines="50" w:after="156" w:afterLines="50"/>
        <w:ind w:firstLine="420"/>
        <w:rPr>
          <w:rFonts w:ascii="黑体" w:hAnsi="黑体" w:eastAsia="黑体" w:cs="黑体"/>
        </w:rPr>
      </w:pPr>
      <w:r>
        <w:rPr>
          <w:rFonts w:hint="eastAsia" w:ascii="黑体" w:hAnsi="黑体" w:eastAsia="黑体" w:cs="黑体"/>
        </w:rPr>
        <w:t>采收率</w:t>
      </w:r>
    </w:p>
    <w:p>
      <w:pPr>
        <w:pStyle w:val="50"/>
        <w:ind w:firstLine="420"/>
      </w:pPr>
      <w:r>
        <w:rPr>
          <w:rFonts w:hint="eastAsia"/>
        </w:rPr>
        <w:t>采收的牡蛎质量占牡蛎总质量的百分比。</w:t>
      </w:r>
    </w:p>
    <w:p>
      <w:pPr>
        <w:pStyle w:val="50"/>
        <w:spacing w:before="156" w:beforeLines="50" w:after="156" w:afterLines="50"/>
        <w:ind w:firstLine="0" w:firstLineChars="0"/>
        <w:rPr>
          <w:rFonts w:ascii="黑体" w:hAnsi="黑体" w:eastAsia="黑体" w:cs="黑体"/>
        </w:rPr>
      </w:pPr>
      <w:r>
        <w:rPr>
          <w:rFonts w:ascii="黑体" w:hAnsi="黑体" w:eastAsia="黑体" w:cs="黑体"/>
        </w:rPr>
        <w:t>3.7</w:t>
      </w:r>
    </w:p>
    <w:p>
      <w:pPr>
        <w:pStyle w:val="50"/>
        <w:spacing w:before="156" w:beforeLines="50" w:after="156" w:afterLines="50"/>
        <w:ind w:firstLine="420"/>
        <w:rPr>
          <w:rFonts w:ascii="黑体" w:hAnsi="黑体" w:eastAsia="黑体" w:cs="黑体"/>
          <w:vertAlign w:val="subscript"/>
        </w:rPr>
      </w:pPr>
      <w:r>
        <w:rPr>
          <w:rFonts w:hint="eastAsia" w:ascii="黑体" w:hAnsi="黑体" w:eastAsia="黑体" w:cs="黑体"/>
        </w:rPr>
        <w:t>生产能力</w:t>
      </w:r>
    </w:p>
    <w:p>
      <w:pPr>
        <w:pStyle w:val="50"/>
        <w:ind w:firstLine="420"/>
      </w:pPr>
      <w:r>
        <w:rPr>
          <w:rFonts w:hint="eastAsia"/>
        </w:rPr>
        <w:t>单位时间内采收牡蛎的质量。</w:t>
      </w:r>
    </w:p>
    <w:p>
      <w:pPr>
        <w:pStyle w:val="91"/>
        <w:tabs>
          <w:tab w:val="left" w:pos="4515"/>
        </w:tabs>
        <w:spacing w:before="312" w:beforeLines="100" w:after="312" w:afterLines="100"/>
      </w:pPr>
      <w:bookmarkStart w:id="21" w:name="_Toc108784926"/>
      <w:r>
        <w:rPr>
          <w:rFonts w:hint="eastAsia"/>
        </w:rPr>
        <w:t>基本要求</w:t>
      </w:r>
      <w:bookmarkEnd w:id="18"/>
      <w:bookmarkEnd w:id="21"/>
    </w:p>
    <w:bookmarkEnd w:id="19"/>
    <w:bookmarkEnd w:id="20"/>
    <w:p>
      <w:pPr>
        <w:pStyle w:val="49"/>
        <w:numPr>
          <w:ilvl w:val="2"/>
          <w:numId w:val="3"/>
        </w:numPr>
        <w:spacing w:before="120" w:after="120"/>
      </w:pPr>
      <w:bookmarkStart w:id="22" w:name="_Toc108784927"/>
      <w:bookmarkStart w:id="23" w:name="_Toc450038306"/>
      <w:bookmarkStart w:id="24" w:name="_Toc467619449"/>
      <w:bookmarkStart w:id="25" w:name="_Toc79049490"/>
      <w:r>
        <w:rPr>
          <w:rFonts w:hint="eastAsia"/>
        </w:rPr>
        <w:t>需补充提供的材料</w:t>
      </w:r>
      <w:bookmarkEnd w:id="22"/>
      <w:bookmarkEnd w:id="23"/>
      <w:bookmarkEnd w:id="24"/>
      <w:bookmarkEnd w:id="25"/>
    </w:p>
    <w:p>
      <w:pPr>
        <w:pStyle w:val="50"/>
        <w:ind w:firstLine="420"/>
      </w:pPr>
      <w:bookmarkStart w:id="26" w:name="_Toc325987138"/>
      <w:bookmarkStart w:id="27" w:name="_Toc445324329"/>
      <w:bookmarkStart w:id="28" w:name="_Toc454426750"/>
      <w:bookmarkStart w:id="29" w:name="_Toc445248513"/>
      <w:r>
        <w:rPr>
          <w:rFonts w:hint="eastAsia"/>
        </w:rPr>
        <w:t>除申请时提交的材料之外，需补充提供以下材料：</w:t>
      </w:r>
    </w:p>
    <w:p>
      <w:pPr>
        <w:pStyle w:val="50"/>
        <w:numPr>
          <w:ilvl w:val="0"/>
          <w:numId w:val="4"/>
        </w:numPr>
      </w:pPr>
      <w:r>
        <w:rPr>
          <w:rFonts w:hint="eastAsia"/>
        </w:rPr>
        <w:t>产品规格表（见附录A）；</w:t>
      </w:r>
    </w:p>
    <w:p>
      <w:pPr>
        <w:pStyle w:val="50"/>
        <w:numPr>
          <w:ilvl w:val="0"/>
          <w:numId w:val="4"/>
        </w:numPr>
      </w:pPr>
      <w:r>
        <w:rPr>
          <w:rFonts w:hint="eastAsia"/>
        </w:rPr>
        <w:t>样机照片（左前方</w:t>
      </w:r>
      <w:r>
        <w:t>45</w:t>
      </w:r>
      <w:r>
        <w:rPr>
          <w:rFonts w:hint="eastAsia"/>
        </w:rPr>
        <w:t>°、右前方</w:t>
      </w:r>
      <w:r>
        <w:t>45</w:t>
      </w:r>
      <w:r>
        <w:rPr>
          <w:rFonts w:hint="eastAsia"/>
        </w:rPr>
        <w:t>°、正后方、产品铭牌各</w:t>
      </w:r>
      <w:r>
        <w:t>1</w:t>
      </w:r>
      <w:r>
        <w:rPr>
          <w:rFonts w:hint="eastAsia"/>
        </w:rPr>
        <w:t>张）；</w:t>
      </w:r>
    </w:p>
    <w:p>
      <w:pPr>
        <w:pStyle w:val="50"/>
        <w:numPr>
          <w:ilvl w:val="0"/>
          <w:numId w:val="4"/>
        </w:numPr>
        <w:ind w:firstLineChars="0"/>
      </w:pPr>
      <w:r>
        <w:rPr>
          <w:rFonts w:hint="eastAsia"/>
        </w:rPr>
        <w:t>创新性证明材料（至少包括整机或部件的发明专利、实用新型专利、科技成果评价证书、科技成果查新报告等其中之一）。</w:t>
      </w:r>
    </w:p>
    <w:p>
      <w:pPr>
        <w:pStyle w:val="50"/>
        <w:numPr>
          <w:ilvl w:val="0"/>
          <w:numId w:val="4"/>
        </w:numPr>
        <w:ind w:firstLineChars="0"/>
      </w:pPr>
      <w:r>
        <w:rPr>
          <w:rFonts w:hint="eastAsia"/>
        </w:rPr>
        <w:t>符合大纲要求的检验检测报告（如适用）；</w:t>
      </w:r>
    </w:p>
    <w:p>
      <w:pPr>
        <w:pStyle w:val="50"/>
        <w:numPr>
          <w:ilvl w:val="0"/>
          <w:numId w:val="4"/>
        </w:numPr>
        <w:ind w:firstLineChars="0"/>
      </w:pPr>
      <w:r>
        <w:rPr>
          <w:rFonts w:hint="eastAsia"/>
        </w:rPr>
        <w:t>符合大纲要求的实地试验验证报告（如适用）</w:t>
      </w:r>
    </w:p>
    <w:p>
      <w:pPr>
        <w:pStyle w:val="50"/>
        <w:tabs>
          <w:tab w:val="left" w:pos="0"/>
        </w:tabs>
        <w:ind w:left="420" w:leftChars="200" w:firstLine="0" w:firstLineChars="0"/>
      </w:pPr>
      <w:r>
        <w:rPr>
          <w:rFonts w:hint="eastAsia"/>
        </w:rPr>
        <w:t>以上材料需加盖制造商公章。</w:t>
      </w:r>
      <w:bookmarkEnd w:id="26"/>
      <w:bookmarkEnd w:id="27"/>
      <w:bookmarkEnd w:id="28"/>
      <w:bookmarkEnd w:id="29"/>
    </w:p>
    <w:p>
      <w:pPr>
        <w:pStyle w:val="49"/>
        <w:numPr>
          <w:ilvl w:val="2"/>
          <w:numId w:val="3"/>
        </w:numPr>
        <w:spacing w:before="120" w:after="120"/>
      </w:pPr>
      <w:bookmarkStart w:id="30" w:name="_Toc79049491"/>
      <w:bookmarkStart w:id="31" w:name="_Toc108784928"/>
      <w:r>
        <w:rPr>
          <w:rFonts w:hint="eastAsia"/>
        </w:rPr>
        <w:t>样机</w:t>
      </w:r>
      <w:bookmarkEnd w:id="30"/>
      <w:bookmarkEnd w:id="31"/>
      <w:r>
        <w:rPr>
          <w:rFonts w:hint="eastAsia"/>
        </w:rPr>
        <w:t>确定</w:t>
      </w:r>
    </w:p>
    <w:p>
      <w:pPr>
        <w:pStyle w:val="86"/>
        <w:ind w:firstLine="420" w:firstLineChars="200"/>
        <w:rPr>
          <w:color w:val="auto"/>
          <w:sz w:val="21"/>
          <w:szCs w:val="21"/>
        </w:rPr>
      </w:pPr>
      <w:r>
        <w:rPr>
          <w:rFonts w:hint="eastAsia"/>
          <w:color w:val="auto"/>
          <w:sz w:val="21"/>
          <w:szCs w:val="21"/>
        </w:rPr>
        <w:t>样机由制造商无偿提供且应是</w:t>
      </w:r>
      <w:r>
        <w:rPr>
          <w:color w:val="auto"/>
          <w:sz w:val="21"/>
          <w:szCs w:val="21"/>
        </w:rPr>
        <w:t>12</w:t>
      </w:r>
      <w:r>
        <w:rPr>
          <w:rFonts w:hint="eastAsia"/>
          <w:color w:val="auto"/>
          <w:sz w:val="21"/>
          <w:szCs w:val="21"/>
        </w:rPr>
        <w:t>个月以内生产的合格产品，样机数量为1台（套）。样机应在制造商明示的合格品存放处获得，也可在使用现场获得，由鉴定人员验样并经制造商确认后，方可进行鉴定。试验鉴定完成且制造商对鉴定结果无异议后，样机由制造商自行处理。</w:t>
      </w:r>
    </w:p>
    <w:p>
      <w:pPr>
        <w:pStyle w:val="49"/>
        <w:numPr>
          <w:ilvl w:val="2"/>
          <w:numId w:val="3"/>
        </w:numPr>
        <w:spacing w:before="120" w:after="120"/>
      </w:pPr>
      <w:bookmarkStart w:id="32" w:name="_Toc467619454"/>
      <w:bookmarkStart w:id="33" w:name="_Toc450038311"/>
      <w:r>
        <w:rPr>
          <w:rFonts w:hint="eastAsia"/>
        </w:rPr>
        <w:t>参数准确度及仪器设备</w:t>
      </w:r>
    </w:p>
    <w:p>
      <w:pPr>
        <w:pStyle w:val="50"/>
        <w:ind w:firstLine="420"/>
      </w:pPr>
      <w:r>
        <w:rPr>
          <w:rFonts w:hint="eastAsia"/>
        </w:rPr>
        <w:t>被测参数的测量范围和准确度要求见表1。选用仪器设备的量程和准确度应与表1的要求相匹配。试验用仪器设备应经过计量检定或校准且在有效期内。</w:t>
      </w:r>
    </w:p>
    <w:p>
      <w:pPr>
        <w:pStyle w:val="54"/>
        <w:tabs>
          <w:tab w:val="left" w:pos="360"/>
        </w:tabs>
        <w:spacing w:before="156" w:beforeLines="50" w:after="156" w:afterLines="50"/>
        <w:ind w:left="0"/>
      </w:pPr>
      <w:r>
        <w:rPr>
          <w:rFonts w:hint="eastAsia"/>
        </w:rPr>
        <w:t>被测参数准确度要求</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3166"/>
        <w:gridCol w:w="2902"/>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45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18"/>
                <w:szCs w:val="18"/>
              </w:rPr>
            </w:pPr>
            <w:r>
              <w:rPr>
                <w:rFonts w:hint="eastAsia" w:ascii="宋体" w:hAnsi="宋体"/>
                <w:sz w:val="18"/>
                <w:szCs w:val="18"/>
              </w:rPr>
              <w:t>序号</w:t>
            </w:r>
          </w:p>
        </w:tc>
        <w:tc>
          <w:tcPr>
            <w:tcW w:w="165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18"/>
                <w:szCs w:val="18"/>
              </w:rPr>
            </w:pPr>
            <w:r>
              <w:rPr>
                <w:rFonts w:hint="eastAsia" w:ascii="宋体" w:hAnsi="宋体"/>
                <w:sz w:val="18"/>
                <w:szCs w:val="18"/>
              </w:rPr>
              <w:t>被测参数名称</w:t>
            </w:r>
          </w:p>
        </w:tc>
        <w:tc>
          <w:tcPr>
            <w:tcW w:w="151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18"/>
                <w:szCs w:val="18"/>
              </w:rPr>
            </w:pPr>
            <w:r>
              <w:rPr>
                <w:rFonts w:hint="eastAsia" w:ascii="宋体" w:hAnsi="宋体"/>
                <w:sz w:val="18"/>
                <w:szCs w:val="18"/>
              </w:rPr>
              <w:t>测量范围</w:t>
            </w:r>
          </w:p>
        </w:tc>
        <w:tc>
          <w:tcPr>
            <w:tcW w:w="137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18"/>
                <w:szCs w:val="18"/>
              </w:rPr>
            </w:pPr>
            <w:r>
              <w:rPr>
                <w:rFonts w:hint="eastAsia" w:ascii="宋体" w:hAnsi="宋体"/>
                <w:sz w:val="18"/>
                <w:szCs w:val="18"/>
              </w:rPr>
              <w:t>准确度要求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54" w:type="pct"/>
            <w:vMerge w:val="restart"/>
            <w:tcBorders>
              <w:top w:val="single" w:color="auto" w:sz="4" w:space="0"/>
              <w:left w:val="single" w:color="auto" w:sz="4" w:space="0"/>
              <w:right w:val="single" w:color="auto" w:sz="4" w:space="0"/>
            </w:tcBorders>
            <w:vAlign w:val="center"/>
          </w:tcPr>
          <w:p>
            <w:pPr>
              <w:pStyle w:val="50"/>
              <w:snapToGrid w:val="0"/>
              <w:ind w:firstLine="0" w:firstLineChars="0"/>
              <w:jc w:val="center"/>
              <w:rPr>
                <w:rFonts w:hAnsi="宋体"/>
                <w:sz w:val="18"/>
                <w:szCs w:val="18"/>
              </w:rPr>
            </w:pPr>
            <w:r>
              <w:rPr>
                <w:rFonts w:hint="eastAsia" w:hAnsi="宋体"/>
                <w:sz w:val="18"/>
                <w:szCs w:val="18"/>
              </w:rPr>
              <w:t>1</w:t>
            </w:r>
          </w:p>
        </w:tc>
        <w:tc>
          <w:tcPr>
            <w:tcW w:w="1654" w:type="pct"/>
            <w:vMerge w:val="restart"/>
            <w:tcBorders>
              <w:top w:val="single" w:color="auto" w:sz="4" w:space="0"/>
              <w:left w:val="single" w:color="auto" w:sz="4" w:space="0"/>
              <w:right w:val="single" w:color="auto" w:sz="4" w:space="0"/>
            </w:tcBorders>
            <w:vAlign w:val="center"/>
          </w:tcPr>
          <w:p>
            <w:pPr>
              <w:pStyle w:val="50"/>
              <w:snapToGrid w:val="0"/>
              <w:ind w:firstLine="0" w:firstLineChars="0"/>
              <w:jc w:val="center"/>
              <w:rPr>
                <w:rFonts w:hAnsi="宋体"/>
                <w:sz w:val="18"/>
                <w:szCs w:val="18"/>
              </w:rPr>
            </w:pPr>
            <w:r>
              <w:rPr>
                <w:rFonts w:hint="eastAsia" w:hAnsi="宋体"/>
                <w:sz w:val="18"/>
                <w:szCs w:val="18"/>
              </w:rPr>
              <w:t>质量</w:t>
            </w:r>
          </w:p>
        </w:tc>
        <w:tc>
          <w:tcPr>
            <w:tcW w:w="1516" w:type="pct"/>
            <w:tcBorders>
              <w:top w:val="single" w:color="auto" w:sz="4" w:space="0"/>
              <w:left w:val="single" w:color="auto" w:sz="4" w:space="0"/>
              <w:bottom w:val="single" w:color="auto" w:sz="4" w:space="0"/>
              <w:right w:val="single" w:color="auto" w:sz="4" w:space="0"/>
            </w:tcBorders>
            <w:vAlign w:val="center"/>
          </w:tcPr>
          <w:p>
            <w:pPr>
              <w:pStyle w:val="50"/>
              <w:snapToGrid w:val="0"/>
              <w:ind w:firstLine="0" w:firstLineChars="0"/>
              <w:jc w:val="center"/>
              <w:rPr>
                <w:rFonts w:hAnsi="宋体"/>
                <w:sz w:val="18"/>
                <w:szCs w:val="18"/>
              </w:rPr>
            </w:pPr>
            <w:r>
              <w:rPr>
                <w:rFonts w:hAnsi="宋体"/>
                <w:sz w:val="18"/>
                <w:szCs w:val="18"/>
              </w:rPr>
              <w:t>0 kg</w:t>
            </w:r>
            <w:r>
              <w:rPr>
                <w:rFonts w:hint="eastAsia" w:hAnsi="宋体"/>
                <w:sz w:val="18"/>
                <w:szCs w:val="18"/>
              </w:rPr>
              <w:t>～</w:t>
            </w:r>
            <w:r>
              <w:rPr>
                <w:rFonts w:hAnsi="宋体"/>
                <w:sz w:val="18"/>
                <w:szCs w:val="18"/>
              </w:rPr>
              <w:t>200</w:t>
            </w:r>
            <w:r>
              <w:rPr>
                <w:rFonts w:hint="eastAsia" w:hAnsi="宋体"/>
                <w:sz w:val="18"/>
                <w:szCs w:val="18"/>
              </w:rPr>
              <w:t xml:space="preserve"> kg</w:t>
            </w:r>
          </w:p>
        </w:tc>
        <w:tc>
          <w:tcPr>
            <w:tcW w:w="1374" w:type="pct"/>
            <w:tcBorders>
              <w:top w:val="single" w:color="auto" w:sz="4" w:space="0"/>
              <w:left w:val="single" w:color="auto" w:sz="4" w:space="0"/>
              <w:bottom w:val="single" w:color="auto" w:sz="4" w:space="0"/>
              <w:right w:val="single" w:color="auto" w:sz="4" w:space="0"/>
            </w:tcBorders>
            <w:vAlign w:val="center"/>
          </w:tcPr>
          <w:p>
            <w:pPr>
              <w:pStyle w:val="50"/>
              <w:snapToGrid w:val="0"/>
              <w:ind w:firstLine="0" w:firstLineChars="0"/>
              <w:jc w:val="center"/>
              <w:rPr>
                <w:rFonts w:hAnsi="宋体"/>
                <w:sz w:val="18"/>
                <w:szCs w:val="18"/>
              </w:rPr>
            </w:pPr>
            <w:r>
              <w:rPr>
                <w:rFonts w:hAnsi="宋体"/>
                <w:sz w:val="18"/>
                <w:szCs w:val="18"/>
              </w:rPr>
              <w:t>100</w:t>
            </w:r>
            <w:r>
              <w:rPr>
                <w:rFonts w:hint="eastAsia" w:hAnsi="宋体"/>
                <w:sz w:val="18"/>
                <w:szCs w:val="18"/>
              </w:rPr>
              <w:t xml:space="preserve"> </w:t>
            </w:r>
            <w:r>
              <w:rPr>
                <w:rFonts w:hAnsi="宋体"/>
                <w:sz w:val="18"/>
                <w:szCs w:val="18"/>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4" w:type="pct"/>
            <w:vMerge w:val="continue"/>
            <w:tcBorders>
              <w:left w:val="single" w:color="auto" w:sz="4" w:space="0"/>
              <w:bottom w:val="single" w:color="auto" w:sz="4" w:space="0"/>
              <w:right w:val="single" w:color="auto" w:sz="4" w:space="0"/>
            </w:tcBorders>
            <w:vAlign w:val="center"/>
          </w:tcPr>
          <w:p>
            <w:pPr>
              <w:pStyle w:val="50"/>
              <w:snapToGrid w:val="0"/>
              <w:ind w:firstLine="0" w:firstLineChars="0"/>
              <w:jc w:val="center"/>
              <w:rPr>
                <w:rFonts w:hAnsi="宋体"/>
                <w:sz w:val="18"/>
                <w:szCs w:val="18"/>
              </w:rPr>
            </w:pPr>
          </w:p>
        </w:tc>
        <w:tc>
          <w:tcPr>
            <w:tcW w:w="1654" w:type="pct"/>
            <w:vMerge w:val="continue"/>
            <w:tcBorders>
              <w:left w:val="single" w:color="auto" w:sz="4" w:space="0"/>
              <w:bottom w:val="single" w:color="auto" w:sz="4" w:space="0"/>
              <w:right w:val="single" w:color="auto" w:sz="4" w:space="0"/>
            </w:tcBorders>
            <w:vAlign w:val="center"/>
          </w:tcPr>
          <w:p>
            <w:pPr>
              <w:pStyle w:val="50"/>
              <w:snapToGrid w:val="0"/>
              <w:ind w:firstLine="0" w:firstLineChars="0"/>
              <w:jc w:val="center"/>
              <w:rPr>
                <w:rFonts w:hAnsi="宋体"/>
                <w:sz w:val="18"/>
                <w:szCs w:val="18"/>
              </w:rPr>
            </w:pPr>
          </w:p>
        </w:tc>
        <w:tc>
          <w:tcPr>
            <w:tcW w:w="1516" w:type="pct"/>
            <w:tcBorders>
              <w:top w:val="single" w:color="auto" w:sz="4" w:space="0"/>
              <w:left w:val="single" w:color="auto" w:sz="4" w:space="0"/>
              <w:bottom w:val="single" w:color="auto" w:sz="4" w:space="0"/>
              <w:right w:val="single" w:color="auto" w:sz="4" w:space="0"/>
            </w:tcBorders>
            <w:vAlign w:val="center"/>
          </w:tcPr>
          <w:p>
            <w:pPr>
              <w:pStyle w:val="50"/>
              <w:snapToGrid w:val="0"/>
              <w:ind w:firstLine="0" w:firstLineChars="0"/>
              <w:jc w:val="center"/>
              <w:rPr>
                <w:rFonts w:hAnsi="宋体"/>
                <w:sz w:val="18"/>
                <w:szCs w:val="18"/>
              </w:rPr>
            </w:pPr>
            <w:r>
              <w:rPr>
                <w:rFonts w:hAnsi="宋体"/>
                <w:sz w:val="18"/>
                <w:szCs w:val="18"/>
              </w:rPr>
              <w:t>0 kg</w:t>
            </w:r>
            <w:r>
              <w:rPr>
                <w:rFonts w:hint="eastAsia" w:hAnsi="宋体"/>
                <w:sz w:val="18"/>
                <w:szCs w:val="18"/>
              </w:rPr>
              <w:t>～</w:t>
            </w:r>
            <w:r>
              <w:rPr>
                <w:rFonts w:hAnsi="宋体"/>
                <w:sz w:val="18"/>
                <w:szCs w:val="18"/>
              </w:rPr>
              <w:t>2000</w:t>
            </w:r>
            <w:r>
              <w:rPr>
                <w:rFonts w:hint="eastAsia" w:hAnsi="宋体"/>
                <w:sz w:val="18"/>
                <w:szCs w:val="18"/>
              </w:rPr>
              <w:t xml:space="preserve"> kg</w:t>
            </w:r>
          </w:p>
        </w:tc>
        <w:tc>
          <w:tcPr>
            <w:tcW w:w="1374" w:type="pct"/>
            <w:tcBorders>
              <w:top w:val="single" w:color="auto" w:sz="4" w:space="0"/>
              <w:left w:val="single" w:color="auto" w:sz="4" w:space="0"/>
              <w:bottom w:val="single" w:color="auto" w:sz="4" w:space="0"/>
              <w:right w:val="single" w:color="auto" w:sz="4" w:space="0"/>
            </w:tcBorders>
            <w:vAlign w:val="center"/>
          </w:tcPr>
          <w:p>
            <w:pPr>
              <w:pStyle w:val="50"/>
              <w:snapToGrid w:val="0"/>
              <w:ind w:firstLine="0" w:firstLineChars="0"/>
              <w:jc w:val="center"/>
              <w:rPr>
                <w:rFonts w:hAnsi="宋体"/>
                <w:sz w:val="18"/>
                <w:szCs w:val="18"/>
              </w:rPr>
            </w:pPr>
            <w:r>
              <w:rPr>
                <w:rFonts w:hAnsi="宋体"/>
                <w:sz w:val="18"/>
                <w:szCs w:val="18"/>
              </w:rPr>
              <w:t>1000</w:t>
            </w:r>
            <w:r>
              <w:rPr>
                <w:rFonts w:hint="eastAsia" w:hAnsi="宋体"/>
                <w:sz w:val="18"/>
                <w:szCs w:val="18"/>
              </w:rPr>
              <w:t xml:space="preserve"> </w:t>
            </w:r>
            <w:r>
              <w:rPr>
                <w:rFonts w:hAnsi="宋体"/>
                <w:sz w:val="18"/>
                <w:szCs w:val="18"/>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4" w:type="pct"/>
            <w:vMerge w:val="restart"/>
            <w:tcBorders>
              <w:top w:val="single" w:color="auto" w:sz="4" w:space="0"/>
              <w:left w:val="single" w:color="auto" w:sz="4" w:space="0"/>
              <w:right w:val="single" w:color="auto" w:sz="4" w:space="0"/>
            </w:tcBorders>
            <w:vAlign w:val="center"/>
          </w:tcPr>
          <w:p>
            <w:pPr>
              <w:pStyle w:val="50"/>
              <w:snapToGrid w:val="0"/>
              <w:ind w:firstLine="0" w:firstLineChars="0"/>
              <w:jc w:val="center"/>
              <w:rPr>
                <w:rFonts w:hAnsi="宋体"/>
                <w:sz w:val="18"/>
                <w:szCs w:val="18"/>
              </w:rPr>
            </w:pPr>
            <w:r>
              <w:rPr>
                <w:rFonts w:hint="eastAsia" w:hAnsi="宋体"/>
                <w:sz w:val="18"/>
                <w:szCs w:val="18"/>
              </w:rPr>
              <w:t>2</w:t>
            </w:r>
          </w:p>
        </w:tc>
        <w:tc>
          <w:tcPr>
            <w:tcW w:w="1654" w:type="pct"/>
            <w:vMerge w:val="restart"/>
            <w:tcBorders>
              <w:top w:val="single" w:color="auto" w:sz="4" w:space="0"/>
              <w:left w:val="single" w:color="auto" w:sz="4" w:space="0"/>
              <w:right w:val="single" w:color="auto" w:sz="4" w:space="0"/>
            </w:tcBorders>
            <w:vAlign w:val="center"/>
          </w:tcPr>
          <w:p>
            <w:pPr>
              <w:pStyle w:val="50"/>
              <w:snapToGrid w:val="0"/>
              <w:ind w:firstLine="0" w:firstLineChars="0"/>
              <w:jc w:val="center"/>
              <w:rPr>
                <w:rFonts w:hAnsi="宋体"/>
                <w:sz w:val="18"/>
                <w:szCs w:val="18"/>
              </w:rPr>
            </w:pPr>
            <w:r>
              <w:rPr>
                <w:rFonts w:hint="eastAsia" w:hAnsi="宋体"/>
                <w:sz w:val="18"/>
                <w:szCs w:val="18"/>
              </w:rPr>
              <w:t>长度</w:t>
            </w:r>
          </w:p>
        </w:tc>
        <w:tc>
          <w:tcPr>
            <w:tcW w:w="1516" w:type="pct"/>
            <w:tcBorders>
              <w:top w:val="single" w:color="auto" w:sz="4" w:space="0"/>
              <w:left w:val="single" w:color="auto" w:sz="4" w:space="0"/>
              <w:bottom w:val="single" w:color="auto" w:sz="4" w:space="0"/>
              <w:right w:val="single" w:color="auto" w:sz="4" w:space="0"/>
            </w:tcBorders>
            <w:vAlign w:val="center"/>
          </w:tcPr>
          <w:p>
            <w:pPr>
              <w:pStyle w:val="50"/>
              <w:snapToGrid w:val="0"/>
              <w:ind w:firstLine="0" w:firstLineChars="0"/>
              <w:jc w:val="center"/>
              <w:rPr>
                <w:rFonts w:hAnsi="宋体"/>
                <w:sz w:val="18"/>
                <w:szCs w:val="18"/>
              </w:rPr>
            </w:pPr>
            <w:r>
              <w:rPr>
                <w:rFonts w:hint="eastAsia" w:hAnsi="宋体"/>
                <w:sz w:val="18"/>
                <w:szCs w:val="18"/>
              </w:rPr>
              <w:t>0</w:t>
            </w:r>
            <w:r>
              <w:rPr>
                <w:rFonts w:hAnsi="宋体"/>
                <w:bCs/>
                <w:sz w:val="18"/>
                <w:szCs w:val="18"/>
              </w:rPr>
              <w:t xml:space="preserve"> m</w:t>
            </w:r>
            <w:r>
              <w:rPr>
                <w:rFonts w:hint="eastAsia" w:hAnsi="宋体"/>
                <w:sz w:val="18"/>
                <w:szCs w:val="18"/>
              </w:rPr>
              <w:t>～5</w:t>
            </w:r>
            <w:r>
              <w:rPr>
                <w:rFonts w:hAnsi="宋体"/>
                <w:bCs/>
                <w:sz w:val="18"/>
                <w:szCs w:val="18"/>
              </w:rPr>
              <w:t xml:space="preserve"> m</w:t>
            </w:r>
          </w:p>
        </w:tc>
        <w:tc>
          <w:tcPr>
            <w:tcW w:w="1374" w:type="pct"/>
            <w:tcBorders>
              <w:top w:val="single" w:color="auto" w:sz="4" w:space="0"/>
              <w:left w:val="single" w:color="auto" w:sz="4" w:space="0"/>
              <w:bottom w:val="single" w:color="auto" w:sz="4" w:space="0"/>
              <w:right w:val="single" w:color="auto" w:sz="4" w:space="0"/>
            </w:tcBorders>
            <w:vAlign w:val="center"/>
          </w:tcPr>
          <w:p>
            <w:pPr>
              <w:pStyle w:val="50"/>
              <w:snapToGrid w:val="0"/>
              <w:ind w:firstLine="0" w:firstLineChars="0"/>
              <w:jc w:val="center"/>
              <w:rPr>
                <w:rFonts w:hAnsi="宋体"/>
                <w:sz w:val="18"/>
                <w:szCs w:val="18"/>
              </w:rPr>
            </w:pPr>
            <w:r>
              <w:rPr>
                <w:rFonts w:hint="eastAsia" w:hAnsi="宋体"/>
                <w:bCs/>
                <w:sz w:val="18"/>
                <w:szCs w:val="18"/>
              </w:rPr>
              <w:t xml:space="preserve">1 </w:t>
            </w:r>
            <w:r>
              <w:rPr>
                <w:rFonts w:hAnsi="宋体"/>
                <w:bCs/>
                <w:sz w:val="18"/>
                <w:szCs w:val="18"/>
              </w:rPr>
              <w:t>m</w:t>
            </w:r>
            <w:r>
              <w:rPr>
                <w:rFonts w:hint="eastAsia" w:hAnsi="宋体"/>
                <w:bCs/>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4" w:type="pct"/>
            <w:vMerge w:val="continue"/>
            <w:tcBorders>
              <w:left w:val="single" w:color="auto" w:sz="4" w:space="0"/>
              <w:bottom w:val="single" w:color="auto" w:sz="4" w:space="0"/>
              <w:right w:val="single" w:color="auto" w:sz="4" w:space="0"/>
            </w:tcBorders>
            <w:vAlign w:val="center"/>
          </w:tcPr>
          <w:p>
            <w:pPr>
              <w:pStyle w:val="50"/>
              <w:snapToGrid w:val="0"/>
              <w:ind w:firstLine="0" w:firstLineChars="0"/>
              <w:jc w:val="center"/>
              <w:rPr>
                <w:rFonts w:hAnsi="宋体"/>
                <w:sz w:val="18"/>
                <w:szCs w:val="18"/>
              </w:rPr>
            </w:pPr>
          </w:p>
        </w:tc>
        <w:tc>
          <w:tcPr>
            <w:tcW w:w="1654" w:type="pct"/>
            <w:vMerge w:val="continue"/>
            <w:tcBorders>
              <w:left w:val="single" w:color="auto" w:sz="4" w:space="0"/>
              <w:bottom w:val="single" w:color="auto" w:sz="4" w:space="0"/>
              <w:right w:val="single" w:color="auto" w:sz="4" w:space="0"/>
            </w:tcBorders>
            <w:vAlign w:val="center"/>
          </w:tcPr>
          <w:p>
            <w:pPr>
              <w:pStyle w:val="50"/>
              <w:snapToGrid w:val="0"/>
              <w:ind w:firstLine="0" w:firstLineChars="0"/>
              <w:jc w:val="center"/>
              <w:rPr>
                <w:rFonts w:hAnsi="宋体"/>
                <w:sz w:val="18"/>
                <w:szCs w:val="18"/>
              </w:rPr>
            </w:pPr>
          </w:p>
        </w:tc>
        <w:tc>
          <w:tcPr>
            <w:tcW w:w="1516" w:type="pct"/>
            <w:tcBorders>
              <w:top w:val="single" w:color="auto" w:sz="4" w:space="0"/>
              <w:left w:val="single" w:color="auto" w:sz="4" w:space="0"/>
              <w:bottom w:val="single" w:color="auto" w:sz="4" w:space="0"/>
              <w:right w:val="single" w:color="auto" w:sz="4" w:space="0"/>
            </w:tcBorders>
            <w:vAlign w:val="center"/>
          </w:tcPr>
          <w:p>
            <w:pPr>
              <w:pStyle w:val="50"/>
              <w:snapToGrid w:val="0"/>
              <w:ind w:firstLine="0" w:firstLineChars="0"/>
              <w:jc w:val="center"/>
              <w:rPr>
                <w:rFonts w:hAnsi="宋体"/>
                <w:sz w:val="18"/>
                <w:szCs w:val="18"/>
              </w:rPr>
            </w:pPr>
            <w:r>
              <w:rPr>
                <w:rFonts w:hint="eastAsia" w:hAnsi="宋体"/>
                <w:sz w:val="18"/>
                <w:szCs w:val="18"/>
              </w:rPr>
              <w:t>0</w:t>
            </w:r>
            <w:r>
              <w:rPr>
                <w:rFonts w:hAnsi="宋体"/>
                <w:bCs/>
                <w:sz w:val="18"/>
                <w:szCs w:val="18"/>
              </w:rPr>
              <w:t xml:space="preserve"> m</w:t>
            </w:r>
            <w:r>
              <w:rPr>
                <w:rFonts w:hint="eastAsia" w:hAnsi="宋体"/>
                <w:sz w:val="18"/>
                <w:szCs w:val="18"/>
              </w:rPr>
              <w:t>～</w:t>
            </w:r>
            <w:r>
              <w:rPr>
                <w:rFonts w:hAnsi="宋体"/>
                <w:sz w:val="18"/>
                <w:szCs w:val="18"/>
              </w:rPr>
              <w:t>50</w:t>
            </w:r>
            <w:r>
              <w:rPr>
                <w:rFonts w:hAnsi="宋体"/>
                <w:bCs/>
                <w:sz w:val="18"/>
                <w:szCs w:val="18"/>
              </w:rPr>
              <w:t xml:space="preserve"> m</w:t>
            </w:r>
          </w:p>
        </w:tc>
        <w:tc>
          <w:tcPr>
            <w:tcW w:w="1374" w:type="pct"/>
            <w:tcBorders>
              <w:top w:val="single" w:color="auto" w:sz="4" w:space="0"/>
              <w:left w:val="single" w:color="auto" w:sz="4" w:space="0"/>
              <w:bottom w:val="single" w:color="auto" w:sz="4" w:space="0"/>
              <w:right w:val="single" w:color="auto" w:sz="4" w:space="0"/>
            </w:tcBorders>
            <w:vAlign w:val="center"/>
          </w:tcPr>
          <w:p>
            <w:pPr>
              <w:pStyle w:val="50"/>
              <w:snapToGrid w:val="0"/>
              <w:ind w:firstLine="0" w:firstLineChars="0"/>
              <w:jc w:val="center"/>
              <w:rPr>
                <w:rFonts w:hAnsi="宋体"/>
                <w:sz w:val="18"/>
                <w:szCs w:val="18"/>
              </w:rPr>
            </w:pPr>
            <w:r>
              <w:rPr>
                <w:rFonts w:hint="eastAsia" w:hAnsi="宋体"/>
                <w:bCs/>
                <w:sz w:val="18"/>
                <w:szCs w:val="18"/>
              </w:rPr>
              <w:t>1</w:t>
            </w:r>
            <w:r>
              <w:rPr>
                <w:rFonts w:hAnsi="宋体"/>
                <w:bCs/>
                <w:sz w:val="18"/>
                <w:szCs w:val="18"/>
              </w:rPr>
              <w:t>0</w:t>
            </w:r>
            <w:r>
              <w:rPr>
                <w:rFonts w:hint="eastAsia" w:hAnsi="宋体"/>
                <w:bCs/>
                <w:sz w:val="18"/>
                <w:szCs w:val="18"/>
              </w:rPr>
              <w:t xml:space="preserve"> </w:t>
            </w:r>
            <w:r>
              <w:rPr>
                <w:rFonts w:hAnsi="宋体"/>
                <w:bCs/>
                <w:sz w:val="18"/>
                <w:szCs w:val="18"/>
              </w:rPr>
              <w:t>m</w:t>
            </w:r>
            <w:r>
              <w:rPr>
                <w:rFonts w:hint="eastAsia" w:hAnsi="宋体"/>
                <w:bCs/>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4" w:type="pct"/>
            <w:tcBorders>
              <w:top w:val="single" w:color="auto" w:sz="4" w:space="0"/>
              <w:left w:val="single" w:color="auto" w:sz="4" w:space="0"/>
              <w:bottom w:val="single" w:color="auto" w:sz="4" w:space="0"/>
              <w:right w:val="single" w:color="auto" w:sz="4" w:space="0"/>
            </w:tcBorders>
            <w:vAlign w:val="center"/>
          </w:tcPr>
          <w:p>
            <w:pPr>
              <w:pStyle w:val="50"/>
              <w:snapToGrid w:val="0"/>
              <w:ind w:firstLine="0" w:firstLineChars="0"/>
              <w:jc w:val="center"/>
              <w:rPr>
                <w:rFonts w:hAnsi="宋体"/>
                <w:sz w:val="18"/>
                <w:szCs w:val="18"/>
              </w:rPr>
            </w:pPr>
            <w:r>
              <w:rPr>
                <w:rFonts w:hint="eastAsia" w:hAnsi="宋体"/>
                <w:sz w:val="18"/>
                <w:szCs w:val="18"/>
              </w:rPr>
              <w:t>3</w:t>
            </w:r>
          </w:p>
        </w:tc>
        <w:tc>
          <w:tcPr>
            <w:tcW w:w="1654" w:type="pct"/>
            <w:tcBorders>
              <w:top w:val="single" w:color="auto" w:sz="4" w:space="0"/>
              <w:left w:val="single" w:color="auto" w:sz="4" w:space="0"/>
              <w:bottom w:val="single" w:color="auto" w:sz="4" w:space="0"/>
              <w:right w:val="single" w:color="auto" w:sz="4" w:space="0"/>
            </w:tcBorders>
            <w:vAlign w:val="center"/>
          </w:tcPr>
          <w:p>
            <w:pPr>
              <w:pStyle w:val="50"/>
              <w:snapToGrid w:val="0"/>
              <w:ind w:firstLine="0" w:firstLineChars="0"/>
              <w:jc w:val="center"/>
              <w:rPr>
                <w:rFonts w:hAnsi="宋体"/>
                <w:sz w:val="18"/>
                <w:szCs w:val="18"/>
              </w:rPr>
            </w:pPr>
            <w:r>
              <w:rPr>
                <w:rFonts w:hint="eastAsia" w:hAnsi="宋体"/>
                <w:sz w:val="18"/>
                <w:szCs w:val="18"/>
              </w:rPr>
              <w:t>时间</w:t>
            </w:r>
          </w:p>
        </w:tc>
        <w:tc>
          <w:tcPr>
            <w:tcW w:w="1516" w:type="pct"/>
            <w:tcBorders>
              <w:top w:val="single" w:color="auto" w:sz="4" w:space="0"/>
              <w:left w:val="single" w:color="auto" w:sz="4" w:space="0"/>
              <w:bottom w:val="single" w:color="auto" w:sz="4" w:space="0"/>
              <w:right w:val="single" w:color="auto" w:sz="4" w:space="0"/>
            </w:tcBorders>
            <w:vAlign w:val="center"/>
          </w:tcPr>
          <w:p>
            <w:pPr>
              <w:pStyle w:val="50"/>
              <w:snapToGrid w:val="0"/>
              <w:ind w:firstLine="0" w:firstLineChars="0"/>
              <w:jc w:val="center"/>
              <w:rPr>
                <w:rFonts w:hAnsi="宋体"/>
                <w:sz w:val="18"/>
                <w:szCs w:val="18"/>
              </w:rPr>
            </w:pPr>
            <w:r>
              <w:rPr>
                <w:rFonts w:hint="eastAsia" w:hAnsi="宋体"/>
                <w:sz w:val="18"/>
                <w:szCs w:val="18"/>
              </w:rPr>
              <w:t>0 h～24 h</w:t>
            </w:r>
          </w:p>
        </w:tc>
        <w:tc>
          <w:tcPr>
            <w:tcW w:w="1374" w:type="pct"/>
            <w:tcBorders>
              <w:top w:val="single" w:color="auto" w:sz="4" w:space="0"/>
              <w:left w:val="single" w:color="auto" w:sz="4" w:space="0"/>
              <w:bottom w:val="single" w:color="auto" w:sz="4" w:space="0"/>
              <w:right w:val="single" w:color="auto" w:sz="4" w:space="0"/>
            </w:tcBorders>
            <w:vAlign w:val="center"/>
          </w:tcPr>
          <w:p>
            <w:pPr>
              <w:pStyle w:val="50"/>
              <w:snapToGrid w:val="0"/>
              <w:ind w:firstLine="0" w:firstLineChars="0"/>
              <w:jc w:val="center"/>
              <w:rPr>
                <w:rFonts w:hAnsi="宋体"/>
                <w:sz w:val="18"/>
                <w:szCs w:val="18"/>
              </w:rPr>
            </w:pPr>
            <w:r>
              <w:rPr>
                <w:rFonts w:hAnsi="宋体"/>
                <w:sz w:val="18"/>
                <w:szCs w:val="18"/>
              </w:rPr>
              <w:t>1</w:t>
            </w:r>
            <w:r>
              <w:rPr>
                <w:rFonts w:hint="eastAsia" w:hAnsi="宋体"/>
                <w:sz w:val="18"/>
                <w:szCs w:val="18"/>
              </w:rPr>
              <w:t xml:space="preserve"> s/d</w:t>
            </w:r>
          </w:p>
        </w:tc>
      </w:tr>
      <w:bookmarkEnd w:id="32"/>
      <w:bookmarkEnd w:id="33"/>
    </w:tbl>
    <w:p>
      <w:pPr>
        <w:pStyle w:val="91"/>
        <w:spacing w:before="156" w:after="156"/>
      </w:pPr>
      <w:bookmarkStart w:id="34" w:name="_Toc439321883"/>
      <w:bookmarkStart w:id="35" w:name="_Toc499904980"/>
      <w:bookmarkStart w:id="36" w:name="_Toc439321755"/>
      <w:bookmarkStart w:id="37" w:name="_Toc439321822"/>
      <w:bookmarkStart w:id="38" w:name="_Toc439321925"/>
      <w:bookmarkStart w:id="39" w:name="_Toc108784930"/>
      <w:bookmarkStart w:id="40" w:name="_Toc500317245"/>
      <w:bookmarkStart w:id="41" w:name="_Toc79049495"/>
      <w:r>
        <w:rPr>
          <w:rFonts w:hint="eastAsia"/>
        </w:rPr>
        <w:t>鉴定</w:t>
      </w:r>
      <w:bookmarkEnd w:id="34"/>
      <w:bookmarkEnd w:id="35"/>
      <w:bookmarkEnd w:id="36"/>
      <w:bookmarkEnd w:id="37"/>
      <w:bookmarkEnd w:id="38"/>
      <w:r>
        <w:rPr>
          <w:rFonts w:hint="eastAsia"/>
        </w:rPr>
        <w:t>内容和方法</w:t>
      </w:r>
      <w:bookmarkEnd w:id="39"/>
      <w:bookmarkEnd w:id="40"/>
      <w:bookmarkEnd w:id="41"/>
    </w:p>
    <w:p>
      <w:pPr>
        <w:pStyle w:val="49"/>
        <w:numPr>
          <w:ilvl w:val="2"/>
          <w:numId w:val="3"/>
        </w:numPr>
        <w:spacing w:before="120" w:after="120"/>
      </w:pPr>
      <w:bookmarkStart w:id="42" w:name="_Toc108784931"/>
      <w:bookmarkStart w:id="43" w:name="_Toc79049496"/>
      <w:bookmarkStart w:id="44" w:name="_Toc448869067"/>
      <w:bookmarkStart w:id="45" w:name="_Toc467523118"/>
      <w:bookmarkStart w:id="46" w:name="_Toc467524303"/>
      <w:bookmarkStart w:id="47" w:name="_Toc448934045"/>
      <w:bookmarkStart w:id="48" w:name="_Toc467523164"/>
      <w:bookmarkStart w:id="49" w:name="_Toc468654842"/>
      <w:r>
        <w:rPr>
          <w:rFonts w:hint="eastAsia"/>
        </w:rPr>
        <w:t>一致性检查</w:t>
      </w:r>
      <w:bookmarkEnd w:id="42"/>
      <w:bookmarkEnd w:id="43"/>
    </w:p>
    <w:p>
      <w:pPr>
        <w:pStyle w:val="51"/>
        <w:numPr>
          <w:ilvl w:val="3"/>
          <w:numId w:val="5"/>
        </w:numPr>
        <w:spacing w:before="156" w:beforeLines="50" w:after="156" w:afterLines="50"/>
        <w:ind w:left="0"/>
      </w:pPr>
      <w:r>
        <w:rPr>
          <w:rFonts w:hint="eastAsia"/>
        </w:rPr>
        <w:t>检查内容和方法</w:t>
      </w:r>
    </w:p>
    <w:p>
      <w:pPr>
        <w:pStyle w:val="50"/>
        <w:ind w:firstLine="420"/>
        <w:rPr>
          <w:szCs w:val="21"/>
        </w:rPr>
      </w:pPr>
      <w:r>
        <w:rPr>
          <w:rFonts w:hint="eastAsia"/>
        </w:rPr>
        <w:t>一致性检查的项目、限制范围及检查方法见表2。制造商填报的产品规格表的设计值应与其提供的产品执行标准、产品使用说明书所描述的产品技术规格值相一致。对照产品规格表的设计值对样机的相应项目进行一致性检查。</w:t>
      </w:r>
    </w:p>
    <w:p>
      <w:pPr>
        <w:pStyle w:val="54"/>
        <w:tabs>
          <w:tab w:val="left" w:pos="360"/>
        </w:tabs>
        <w:spacing w:before="156" w:beforeLines="50" w:after="156" w:afterLines="50"/>
        <w:ind w:left="0"/>
      </w:pPr>
      <w:r>
        <w:rPr>
          <w:rFonts w:hint="eastAsia"/>
        </w:rPr>
        <w:t>一致性检查项目、限制范围及检查方法</w:t>
      </w:r>
    </w:p>
    <w:tbl>
      <w:tblPr>
        <w:tblStyle w:val="31"/>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3450"/>
        <w:gridCol w:w="2044"/>
        <w:gridCol w:w="3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shd w:val="clear" w:color="auto" w:fill="auto"/>
          </w:tcPr>
          <w:p>
            <w:pPr>
              <w:jc w:val="center"/>
              <w:rPr>
                <w:rFonts w:asciiTheme="minorEastAsia" w:hAnsiTheme="minorEastAsia" w:eastAsiaTheme="minorEastAsia"/>
                <w:color w:val="000000"/>
              </w:rPr>
            </w:pPr>
            <w:bookmarkStart w:id="50" w:name="_Hlk78272864"/>
            <w:r>
              <w:rPr>
                <w:rFonts w:hint="eastAsia" w:asciiTheme="minorEastAsia" w:hAnsiTheme="minorEastAsia" w:eastAsiaTheme="minorEastAsia"/>
                <w:color w:val="000000"/>
                <w:sz w:val="18"/>
                <w:szCs w:val="18"/>
              </w:rPr>
              <w:t>序号</w:t>
            </w:r>
          </w:p>
        </w:tc>
        <w:tc>
          <w:tcPr>
            <w:tcW w:w="1804" w:type="pct"/>
            <w:shd w:val="clear" w:color="auto" w:fill="auto"/>
          </w:tcPr>
          <w:p>
            <w:pPr>
              <w:jc w:val="center"/>
              <w:rPr>
                <w:rFonts w:asciiTheme="minorEastAsia" w:hAnsiTheme="minorEastAsia" w:eastAsiaTheme="minorEastAsia"/>
                <w:color w:val="000000"/>
              </w:rPr>
            </w:pPr>
            <w:r>
              <w:rPr>
                <w:rFonts w:hint="eastAsia" w:asciiTheme="minorEastAsia" w:hAnsiTheme="minorEastAsia" w:eastAsiaTheme="minorEastAsia"/>
                <w:bCs/>
                <w:color w:val="000000"/>
                <w:sz w:val="18"/>
                <w:szCs w:val="18"/>
              </w:rPr>
              <w:t>检查项目</w:t>
            </w:r>
          </w:p>
        </w:tc>
        <w:tc>
          <w:tcPr>
            <w:tcW w:w="1069" w:type="pct"/>
            <w:shd w:val="clear" w:color="auto" w:fill="auto"/>
          </w:tcPr>
          <w:p>
            <w:pPr>
              <w:jc w:val="center"/>
              <w:rPr>
                <w:rFonts w:asciiTheme="minorEastAsia" w:hAnsiTheme="minorEastAsia" w:eastAsiaTheme="minorEastAsia"/>
                <w:color w:val="000000"/>
              </w:rPr>
            </w:pPr>
            <w:r>
              <w:rPr>
                <w:rFonts w:hint="eastAsia" w:asciiTheme="minorEastAsia" w:hAnsiTheme="minorEastAsia" w:eastAsiaTheme="minorEastAsia"/>
                <w:bCs/>
                <w:color w:val="000000"/>
                <w:sz w:val="18"/>
                <w:szCs w:val="18"/>
              </w:rPr>
              <w:t>限制范围</w:t>
            </w:r>
          </w:p>
        </w:tc>
        <w:tc>
          <w:tcPr>
            <w:tcW w:w="1719" w:type="pct"/>
            <w:shd w:val="clear" w:color="auto" w:fill="auto"/>
          </w:tcPr>
          <w:p>
            <w:pPr>
              <w:jc w:val="center"/>
              <w:rPr>
                <w:rFonts w:asciiTheme="minorEastAsia" w:hAnsiTheme="minorEastAsia" w:eastAsiaTheme="minorEastAsia"/>
                <w:color w:val="000000"/>
              </w:rPr>
            </w:pPr>
            <w:r>
              <w:rPr>
                <w:rFonts w:hint="eastAsia" w:asciiTheme="minorEastAsia" w:hAnsiTheme="minorEastAsia" w:eastAsiaTheme="minorEastAsia"/>
                <w:bCs/>
                <w:color w:val="000000"/>
                <w:sz w:val="18"/>
                <w:szCs w:val="18"/>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shd w:val="clear" w:color="auto" w:fill="auto"/>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804"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型号名称</w:t>
            </w:r>
          </w:p>
        </w:tc>
        <w:tc>
          <w:tcPr>
            <w:tcW w:w="1069" w:type="pct"/>
            <w:shd w:val="clear" w:color="auto" w:fill="auto"/>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一致</w:t>
            </w:r>
          </w:p>
        </w:tc>
        <w:tc>
          <w:tcPr>
            <w:tcW w:w="1719" w:type="pct"/>
            <w:shd w:val="clear" w:color="auto" w:fill="auto"/>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核对铭牌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shd w:val="clear" w:color="auto" w:fill="auto"/>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804" w:type="pct"/>
            <w:tcBorders>
              <w:top w:val="single" w:color="auto" w:sz="4" w:space="0"/>
              <w:left w:val="single" w:color="auto" w:sz="4" w:space="0"/>
              <w:bottom w:val="single" w:color="auto" w:sz="4" w:space="0"/>
              <w:right w:val="single" w:color="auto" w:sz="4" w:space="0"/>
            </w:tcBorders>
            <w:vAlign w:val="center"/>
          </w:tcPr>
          <w:p>
            <w:pPr>
              <w:pStyle w:val="50"/>
              <w:ind w:left="-346" w:leftChars="-165" w:firstLine="360"/>
              <w:jc w:val="left"/>
              <w:rPr>
                <w:rFonts w:asciiTheme="minorEastAsia" w:hAnsiTheme="minorEastAsia" w:eastAsiaTheme="minorEastAsia"/>
                <w:kern w:val="2"/>
                <w:sz w:val="18"/>
                <w:szCs w:val="18"/>
              </w:rPr>
            </w:pPr>
            <w:r>
              <w:rPr>
                <w:rFonts w:hint="eastAsia" w:asciiTheme="minorEastAsia" w:hAnsiTheme="minorEastAsia" w:eastAsiaTheme="minorEastAsia"/>
                <w:kern w:val="2"/>
                <w:sz w:val="18"/>
                <w:szCs w:val="18"/>
              </w:rPr>
              <w:t>结构型式</w:t>
            </w:r>
          </w:p>
        </w:tc>
        <w:tc>
          <w:tcPr>
            <w:tcW w:w="1069" w:type="pct"/>
            <w:shd w:val="clear" w:color="auto" w:fill="auto"/>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bCs/>
                <w:sz w:val="18"/>
                <w:szCs w:val="18"/>
              </w:rPr>
              <w:t>一致</w:t>
            </w:r>
          </w:p>
        </w:tc>
        <w:tc>
          <w:tcPr>
            <w:tcW w:w="1719" w:type="pct"/>
            <w:shd w:val="clear" w:color="auto" w:fill="auto"/>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8" w:type="pct"/>
            <w:shd w:val="clear" w:color="auto" w:fill="auto"/>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804"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配套发动机额定功率（或标定功率）</w:t>
            </w:r>
          </w:p>
        </w:tc>
        <w:tc>
          <w:tcPr>
            <w:tcW w:w="1069" w:type="pct"/>
            <w:shd w:val="clear" w:color="auto" w:fill="auto"/>
            <w:vAlign w:val="center"/>
          </w:tcPr>
          <w:p>
            <w:pPr>
              <w:jc w:val="center"/>
              <w:rPr>
                <w:rFonts w:asciiTheme="minorEastAsia" w:hAnsiTheme="minorEastAsia" w:eastAsiaTheme="minorEastAsia"/>
                <w:bCs/>
                <w:sz w:val="18"/>
                <w:szCs w:val="18"/>
                <w:highlight w:val="yellow"/>
              </w:rPr>
            </w:pPr>
            <w:r>
              <w:rPr>
                <w:rFonts w:hint="eastAsia" w:asciiTheme="minorEastAsia" w:hAnsiTheme="minorEastAsia" w:eastAsiaTheme="minorEastAsia"/>
                <w:sz w:val="18"/>
                <w:szCs w:val="18"/>
              </w:rPr>
              <w:t>一致</w:t>
            </w:r>
          </w:p>
        </w:tc>
        <w:tc>
          <w:tcPr>
            <w:tcW w:w="1719" w:type="pct"/>
            <w:shd w:val="clear" w:color="auto" w:fill="auto"/>
            <w:vAlign w:val="center"/>
          </w:tcPr>
          <w:p>
            <w:pPr>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shd w:val="clear" w:color="auto" w:fill="auto"/>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804" w:type="pct"/>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工作状态外形尺寸</w:t>
            </w:r>
            <w:r>
              <w:rPr>
                <w:rFonts w:asciiTheme="minorEastAsia" w:hAnsiTheme="minorEastAsia" w:eastAsiaTheme="minorEastAsia"/>
                <w:sz w:val="18"/>
                <w:szCs w:val="18"/>
              </w:rPr>
              <w:t>（长×宽×高）</w:t>
            </w:r>
          </w:p>
        </w:tc>
        <w:tc>
          <w:tcPr>
            <w:tcW w:w="1069" w:type="pct"/>
            <w:shd w:val="clear" w:color="auto" w:fill="auto"/>
            <w:vAlign w:val="center"/>
          </w:tcPr>
          <w:p>
            <w:pPr>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允许偏差为5</w:t>
            </w:r>
            <w:r>
              <w:rPr>
                <w:rFonts w:asciiTheme="minorEastAsia" w:hAnsiTheme="minorEastAsia" w:eastAsiaTheme="minorEastAsia"/>
                <w:sz w:val="18"/>
                <w:szCs w:val="18"/>
              </w:rPr>
              <w:t>%</w:t>
            </w:r>
          </w:p>
        </w:tc>
        <w:tc>
          <w:tcPr>
            <w:tcW w:w="1719" w:type="pct"/>
            <w:shd w:val="clear" w:color="auto" w:fill="auto"/>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shd w:val="clear" w:color="auto" w:fill="auto"/>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804"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牵引导轮尺寸（直径）</w:t>
            </w:r>
          </w:p>
        </w:tc>
        <w:tc>
          <w:tcPr>
            <w:tcW w:w="1069" w:type="pct"/>
            <w:shd w:val="clear" w:color="auto" w:fill="auto"/>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允许偏差为</w:t>
            </w:r>
            <w:r>
              <w:rPr>
                <w:rFonts w:asciiTheme="minorEastAsia" w:hAnsiTheme="minorEastAsia" w:eastAsiaTheme="minorEastAsia"/>
                <w:sz w:val="18"/>
                <w:szCs w:val="18"/>
              </w:rPr>
              <w:t>5%</w:t>
            </w:r>
          </w:p>
        </w:tc>
        <w:tc>
          <w:tcPr>
            <w:tcW w:w="1719" w:type="pct"/>
            <w:shd w:val="clear" w:color="auto" w:fill="auto"/>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shd w:val="clear" w:color="auto" w:fill="auto"/>
            <w:vAlign w:val="center"/>
          </w:tcPr>
          <w:p>
            <w:pPr>
              <w:rPr>
                <w:rFonts w:asciiTheme="minorEastAsia" w:hAnsiTheme="minorEastAsia" w:eastAsiaTheme="minorEastAsia"/>
                <w:sz w:val="18"/>
                <w:szCs w:val="18"/>
              </w:rPr>
            </w:pPr>
            <w:r>
              <w:rPr>
                <w:rFonts w:hint="eastAsia" w:ascii="黑体" w:hAnsi="黑体" w:eastAsia="黑体" w:cs="黑体"/>
                <w:sz w:val="18"/>
                <w:szCs w:val="18"/>
              </w:rPr>
              <w:t>注：</w:t>
            </w:r>
            <w:r>
              <w:rPr>
                <w:rFonts w:hint="eastAsia" w:asciiTheme="minorEastAsia" w:hAnsiTheme="minorEastAsia" w:eastAsiaTheme="minorEastAsia"/>
                <w:sz w:val="18"/>
                <w:szCs w:val="18"/>
              </w:rPr>
              <w:t>测量工作状态外形尺寸时，所有活动的工作部件均置于展开位置，不包括各种配套设备。</w:t>
            </w:r>
          </w:p>
        </w:tc>
      </w:tr>
      <w:bookmarkEnd w:id="50"/>
    </w:tbl>
    <w:p>
      <w:pPr>
        <w:pStyle w:val="51"/>
        <w:numPr>
          <w:ilvl w:val="3"/>
          <w:numId w:val="5"/>
        </w:numPr>
        <w:spacing w:before="156" w:beforeLines="50" w:after="156" w:afterLines="50"/>
        <w:ind w:left="0"/>
      </w:pPr>
      <w:r>
        <w:rPr>
          <w:rFonts w:hint="eastAsia"/>
        </w:rPr>
        <w:t>判定规则</w:t>
      </w:r>
    </w:p>
    <w:p>
      <w:pPr>
        <w:pStyle w:val="50"/>
        <w:ind w:firstLine="420"/>
      </w:pPr>
      <w:r>
        <w:rPr>
          <w:rFonts w:hint="eastAsia"/>
        </w:rPr>
        <w:t>一致性检查的全部项目结果均满足表2要求时，一致性检查结论为符合大纲要求；否则，一致性检查结论为不符合大纲要求。</w:t>
      </w:r>
    </w:p>
    <w:p>
      <w:pPr>
        <w:pStyle w:val="49"/>
        <w:numPr>
          <w:ilvl w:val="2"/>
          <w:numId w:val="3"/>
        </w:numPr>
        <w:spacing w:before="120" w:after="120"/>
      </w:pPr>
      <w:bookmarkStart w:id="51" w:name="_Toc108784932"/>
      <w:bookmarkStart w:id="52" w:name="_Toc79049497"/>
      <w:r>
        <w:rPr>
          <w:rFonts w:hint="eastAsia"/>
        </w:rPr>
        <w:t>创新性评价</w:t>
      </w:r>
      <w:bookmarkEnd w:id="51"/>
    </w:p>
    <w:p>
      <w:pPr>
        <w:pStyle w:val="50"/>
        <w:spacing w:before="156" w:beforeLines="50" w:after="156" w:afterLines="50"/>
        <w:ind w:firstLine="0" w:firstLineChars="0"/>
        <w:rPr>
          <w:rFonts w:ascii="黑体" w:hAnsi="黑体" w:eastAsia="黑体" w:cs="黑体"/>
        </w:rPr>
      </w:pPr>
      <w:r>
        <w:rPr>
          <w:rFonts w:ascii="黑体" w:hAnsi="黑体" w:eastAsia="黑体" w:cs="黑体"/>
        </w:rPr>
        <w:t>5.2.1</w:t>
      </w:r>
      <w:r>
        <w:rPr>
          <w:rFonts w:hint="eastAsia" w:ascii="黑体" w:hAnsi="黑体" w:eastAsia="黑体" w:cs="黑体"/>
        </w:rPr>
        <w:t xml:space="preserve">  评价方法</w:t>
      </w:r>
    </w:p>
    <w:p>
      <w:pPr>
        <w:pStyle w:val="50"/>
        <w:ind w:firstLine="0" w:firstLineChars="0"/>
      </w:pPr>
      <w:r>
        <w:rPr>
          <w:rFonts w:ascii="黑体" w:hAnsi="黑体" w:eastAsia="黑体" w:cs="黑体"/>
        </w:rPr>
        <w:t>5.2.1.1</w:t>
      </w:r>
      <w:r>
        <w:rPr>
          <w:rFonts w:hint="eastAsia" w:ascii="黑体" w:hAnsi="黑体" w:eastAsia="黑体" w:cs="黑体"/>
        </w:rPr>
        <w:t xml:space="preserve">  </w:t>
      </w:r>
      <w:r>
        <w:rPr>
          <w:rFonts w:hint="eastAsia"/>
        </w:rPr>
        <w:t>创新性评价可采用材料审查、专家评审的方式进行。</w:t>
      </w:r>
    </w:p>
    <w:p>
      <w:pPr>
        <w:pStyle w:val="50"/>
        <w:ind w:firstLine="0" w:firstLineChars="0"/>
      </w:pPr>
      <w:r>
        <w:rPr>
          <w:rFonts w:ascii="黑体" w:hAnsi="黑体" w:eastAsia="黑体" w:cs="黑体"/>
        </w:rPr>
        <w:t>5.2.1.2</w:t>
      </w:r>
      <w:r>
        <w:rPr>
          <w:rFonts w:hint="eastAsia"/>
        </w:rPr>
        <w:t xml:space="preserve">  采用材料审查方式时，应依据制造商提供的下列至少一种材料进行评价：</w:t>
      </w:r>
    </w:p>
    <w:p>
      <w:pPr>
        <w:pStyle w:val="50"/>
        <w:ind w:firstLine="420"/>
      </w:pPr>
      <w:r>
        <w:rPr>
          <w:rFonts w:hint="eastAsia"/>
        </w:rPr>
        <w:t>a）发明专利；</w:t>
      </w:r>
    </w:p>
    <w:p>
      <w:pPr>
        <w:pStyle w:val="50"/>
        <w:ind w:firstLine="420"/>
      </w:pPr>
      <w:r>
        <w:rPr>
          <w:rFonts w:hint="eastAsia"/>
        </w:rPr>
        <w:t>b）实用新型专利；</w:t>
      </w:r>
    </w:p>
    <w:p>
      <w:pPr>
        <w:pStyle w:val="50"/>
        <w:ind w:firstLine="420"/>
      </w:pPr>
      <w:r>
        <w:rPr>
          <w:rFonts w:hint="eastAsia"/>
        </w:rPr>
        <w:t>c）科技成果评价证书；</w:t>
      </w:r>
    </w:p>
    <w:p>
      <w:pPr>
        <w:pStyle w:val="50"/>
        <w:ind w:firstLine="420"/>
      </w:pPr>
      <w:r>
        <w:rPr>
          <w:rFonts w:hint="eastAsia"/>
        </w:rPr>
        <w:t>d）科技成果查新报告。</w:t>
      </w:r>
    </w:p>
    <w:p>
      <w:pPr>
        <w:pStyle w:val="50"/>
        <w:ind w:firstLine="0" w:firstLineChars="0"/>
      </w:pPr>
      <w:r>
        <w:rPr>
          <w:rFonts w:ascii="黑体" w:hAnsi="黑体" w:eastAsia="黑体" w:cs="黑体"/>
        </w:rPr>
        <w:t>5.2.1.3</w:t>
      </w:r>
      <w:r>
        <w:rPr>
          <w:rFonts w:hint="eastAsia"/>
        </w:rPr>
        <w:t xml:space="preserve">  采用专家评审方式的，应由省级及以上农机试验鉴定机构组织专家对制造商提供的创新性证明材料进行评审，专家组人数应为单数且不少于3名。</w:t>
      </w:r>
    </w:p>
    <w:p>
      <w:pPr>
        <w:pStyle w:val="50"/>
        <w:spacing w:before="156" w:beforeLines="50" w:after="156" w:afterLines="50"/>
        <w:ind w:firstLine="0" w:firstLineChars="0"/>
        <w:rPr>
          <w:rFonts w:ascii="黑体" w:hAnsi="黑体" w:eastAsia="黑体" w:cs="黑体"/>
        </w:rPr>
      </w:pPr>
      <w:r>
        <w:rPr>
          <w:rFonts w:ascii="黑体" w:hAnsi="黑体" w:eastAsia="黑体" w:cs="黑体"/>
        </w:rPr>
        <w:t xml:space="preserve">5.2.2  </w:t>
      </w:r>
      <w:r>
        <w:rPr>
          <w:rFonts w:hint="eastAsia" w:ascii="黑体" w:hAnsi="黑体" w:eastAsia="黑体" w:cs="黑体"/>
        </w:rPr>
        <w:t>判定规则</w:t>
      </w:r>
    </w:p>
    <w:p>
      <w:pPr>
        <w:pStyle w:val="50"/>
        <w:numPr>
          <w:ilvl w:val="255"/>
          <w:numId w:val="0"/>
        </w:numPr>
        <w:jc w:val="left"/>
      </w:pPr>
      <w:r>
        <w:rPr>
          <w:rFonts w:ascii="黑体" w:hAnsi="黑体" w:eastAsia="黑体" w:cs="黑体"/>
        </w:rPr>
        <w:t>5.2.2.1</w:t>
      </w:r>
      <w:r>
        <w:rPr>
          <w:rFonts w:hint="eastAsia"/>
        </w:rPr>
        <w:t xml:space="preserve">  采用材料审查方式的，应形成创新性评价意见，认为其具有创新性的，创新性评价结论为符合大纲要求；否则，创新性评价结论为不符合大纲要求。</w:t>
      </w:r>
    </w:p>
    <w:p>
      <w:pPr>
        <w:pStyle w:val="50"/>
        <w:numPr>
          <w:ilvl w:val="255"/>
          <w:numId w:val="0"/>
        </w:numPr>
      </w:pPr>
      <w:r>
        <w:rPr>
          <w:rFonts w:ascii="黑体" w:hAnsi="黑体" w:eastAsia="黑体" w:cs="黑体"/>
        </w:rPr>
        <w:t xml:space="preserve">5.2.2.2 </w:t>
      </w:r>
      <w:r>
        <w:rPr>
          <w:rFonts w:hint="eastAsia"/>
        </w:rPr>
        <w:t xml:space="preserve"> 采用专家评审方式的，专家组应形成创新性评价意见，2/3以上的专家认为其具有创新性的，创新性评价结论为符合大纲要求；否则，创新性评价结论为不符合大纲要求。</w:t>
      </w:r>
    </w:p>
    <w:p>
      <w:pPr>
        <w:pStyle w:val="49"/>
        <w:numPr>
          <w:ilvl w:val="2"/>
          <w:numId w:val="3"/>
        </w:numPr>
        <w:spacing w:before="120" w:after="120"/>
      </w:pPr>
      <w:bookmarkStart w:id="53" w:name="_Toc108784933"/>
      <w:r>
        <w:rPr>
          <w:rFonts w:hint="eastAsia"/>
        </w:rPr>
        <w:t>安全性</w:t>
      </w:r>
      <w:bookmarkEnd w:id="44"/>
      <w:bookmarkEnd w:id="45"/>
      <w:bookmarkEnd w:id="46"/>
      <w:bookmarkEnd w:id="47"/>
      <w:bookmarkEnd w:id="48"/>
      <w:bookmarkEnd w:id="49"/>
      <w:bookmarkEnd w:id="52"/>
      <w:r>
        <w:rPr>
          <w:rFonts w:hint="eastAsia"/>
        </w:rPr>
        <w:t>检查</w:t>
      </w:r>
      <w:bookmarkEnd w:id="53"/>
    </w:p>
    <w:p>
      <w:pPr>
        <w:pStyle w:val="51"/>
        <w:numPr>
          <w:ilvl w:val="3"/>
          <w:numId w:val="5"/>
        </w:numPr>
        <w:spacing w:before="156" w:beforeLines="50" w:after="156" w:afterLines="50"/>
        <w:ind w:left="0"/>
      </w:pPr>
      <w:bookmarkStart w:id="54" w:name="_Toc467523119"/>
      <w:r>
        <w:rPr>
          <w:rFonts w:hint="eastAsia"/>
        </w:rPr>
        <w:t>安全防护</w:t>
      </w:r>
    </w:p>
    <w:p>
      <w:pPr>
        <w:pStyle w:val="52"/>
        <w:numPr>
          <w:ilvl w:val="4"/>
          <w:numId w:val="5"/>
        </w:numPr>
        <w:ind w:left="0"/>
        <w:rPr>
          <w:rFonts w:ascii="宋体" w:hAnsi="宋体" w:eastAsia="宋体"/>
        </w:rPr>
      </w:pPr>
      <w:r>
        <w:rPr>
          <w:rFonts w:hint="eastAsia" w:ascii="宋体" w:hAnsi="宋体" w:eastAsia="宋体"/>
        </w:rPr>
        <w:t>对可能造成人身伤害的运动部件，应设置符合GB 10395.1规定的安全防护装置。安全防护装置应确保人体不能触及这些运动部件。</w:t>
      </w:r>
    </w:p>
    <w:p>
      <w:pPr>
        <w:pStyle w:val="52"/>
        <w:numPr>
          <w:ilvl w:val="4"/>
          <w:numId w:val="5"/>
        </w:numPr>
        <w:ind w:left="0"/>
        <w:rPr>
          <w:rFonts w:ascii="宋体" w:hAnsi="宋体" w:eastAsia="宋体"/>
        </w:rPr>
      </w:pPr>
      <w:r>
        <w:rPr>
          <w:rFonts w:hint="eastAsia" w:ascii="宋体" w:hAnsi="宋体" w:eastAsia="宋体"/>
        </w:rPr>
        <w:t>防护装置应具有足够的机械强度，不应出现明显变形、损坏。</w:t>
      </w:r>
    </w:p>
    <w:p>
      <w:pPr>
        <w:pStyle w:val="52"/>
        <w:numPr>
          <w:ilvl w:val="4"/>
          <w:numId w:val="5"/>
        </w:numPr>
        <w:ind w:left="0"/>
        <w:rPr>
          <w:rFonts w:ascii="宋体" w:hAnsi="宋体" w:eastAsia="宋体"/>
        </w:rPr>
      </w:pPr>
      <w:r>
        <w:rPr>
          <w:rFonts w:hint="eastAsia" w:ascii="宋体" w:hAnsi="宋体" w:eastAsia="宋体"/>
        </w:rPr>
        <w:t>液压操作系统应灵活、可靠，无卡阻现象。</w:t>
      </w:r>
    </w:p>
    <w:p>
      <w:pPr>
        <w:pStyle w:val="52"/>
        <w:numPr>
          <w:ilvl w:val="4"/>
          <w:numId w:val="5"/>
        </w:numPr>
        <w:ind w:left="0"/>
      </w:pPr>
      <w:r>
        <w:rPr>
          <w:rFonts w:hint="eastAsia" w:ascii="宋体" w:hAnsi="宋体" w:eastAsia="宋体"/>
        </w:rPr>
        <w:t>供油系统管路连接应正确，油管不应被扭转压扁和破损，开机后不应产生明显的振动。液压系统应密封良好，管路不应有漏油现象。</w:t>
      </w:r>
    </w:p>
    <w:p>
      <w:pPr>
        <w:pStyle w:val="52"/>
        <w:numPr>
          <w:ilvl w:val="4"/>
          <w:numId w:val="5"/>
        </w:numPr>
        <w:ind w:left="0"/>
        <w:rPr>
          <w:rFonts w:ascii="宋体" w:hAnsi="宋体" w:eastAsia="宋体"/>
        </w:rPr>
      </w:pPr>
      <w:r>
        <w:rPr>
          <w:rFonts w:hint="eastAsia" w:ascii="宋体" w:hAnsi="宋体" w:eastAsia="宋体"/>
        </w:rPr>
        <w:t>安全阀工作应稳定可靠，在设定的压力下应能可靠的开启，以保护整个液压系统不受损伤。</w:t>
      </w:r>
    </w:p>
    <w:p>
      <w:pPr>
        <w:pStyle w:val="52"/>
        <w:numPr>
          <w:ilvl w:val="4"/>
          <w:numId w:val="5"/>
        </w:numPr>
        <w:ind w:left="0"/>
        <w:rPr>
          <w:rFonts w:ascii="宋体" w:hAnsi="宋体" w:eastAsia="宋体"/>
        </w:rPr>
      </w:pPr>
      <w:r>
        <w:rPr>
          <w:rFonts w:hint="eastAsia" w:ascii="宋体" w:hAnsi="宋体" w:eastAsia="宋体"/>
        </w:rPr>
        <w:t>电气装置和线路连接应正常，接头应可靠，不应因振动而松脱，不应发生短路或断路。</w:t>
      </w:r>
    </w:p>
    <w:p>
      <w:pPr>
        <w:pStyle w:val="52"/>
        <w:numPr>
          <w:ilvl w:val="4"/>
          <w:numId w:val="5"/>
        </w:numPr>
        <w:ind w:left="0"/>
        <w:rPr>
          <w:rFonts w:ascii="宋体" w:hAnsi="宋体" w:eastAsia="宋体"/>
        </w:rPr>
      </w:pPr>
      <w:r>
        <w:rPr>
          <w:rFonts w:hint="eastAsia" w:ascii="宋体" w:hAnsi="宋体" w:eastAsia="宋体"/>
        </w:rPr>
        <w:t>开关按钮应操作方便，工作可靠，不应因振动而自行接通或关闭。</w:t>
      </w:r>
    </w:p>
    <w:p>
      <w:pPr>
        <w:pStyle w:val="52"/>
        <w:numPr>
          <w:ilvl w:val="4"/>
          <w:numId w:val="5"/>
        </w:numPr>
        <w:ind w:left="0"/>
        <w:rPr>
          <w:rFonts w:ascii="宋体" w:hAnsi="宋体" w:eastAsia="宋体"/>
        </w:rPr>
      </w:pPr>
      <w:r>
        <w:rPr>
          <w:rFonts w:hint="eastAsia" w:ascii="宋体" w:hAnsi="宋体" w:eastAsia="宋体"/>
        </w:rPr>
        <w:t>电气设备应有防水措施，电线应捆扎成束，布置整齐，固定卡紧，接头牢固，并有绝缘套。在导线穿过孔洞时应装绝缘套管。</w:t>
      </w:r>
    </w:p>
    <w:p>
      <w:pPr>
        <w:pStyle w:val="52"/>
        <w:numPr>
          <w:ilvl w:val="4"/>
          <w:numId w:val="5"/>
        </w:numPr>
        <w:ind w:left="0"/>
        <w:rPr>
          <w:rFonts w:ascii="宋体" w:hAnsi="宋体" w:eastAsia="宋体"/>
        </w:rPr>
      </w:pPr>
      <w:r>
        <w:rPr>
          <w:rFonts w:hint="eastAsia" w:ascii="宋体" w:hAnsi="宋体" w:eastAsia="宋体"/>
        </w:rPr>
        <w:t>插接件、传动件和防护装置等应做防海水腐蚀处理。</w:t>
      </w:r>
    </w:p>
    <w:p>
      <w:pPr>
        <w:pStyle w:val="52"/>
        <w:numPr>
          <w:ilvl w:val="4"/>
          <w:numId w:val="5"/>
        </w:numPr>
        <w:ind w:left="0"/>
        <w:rPr>
          <w:rFonts w:ascii="宋体" w:hAnsi="宋体" w:eastAsia="宋体"/>
        </w:rPr>
      </w:pPr>
      <w:r>
        <w:rPr>
          <w:rFonts w:hint="eastAsia" w:ascii="宋体" w:hAnsi="宋体" w:eastAsia="宋体"/>
        </w:rPr>
        <w:t>收集装置中活动部件如伸缩、铰链、手柄、卡扣等的使用，应确保其限位机构在可预见的使用和工作环境下可靠的工作。</w:t>
      </w:r>
    </w:p>
    <w:p>
      <w:pPr>
        <w:pStyle w:val="51"/>
        <w:spacing w:before="156" w:beforeLines="50" w:after="156" w:afterLines="50"/>
        <w:ind w:left="0"/>
      </w:pPr>
      <w:r>
        <w:rPr>
          <w:rFonts w:hint="eastAsia"/>
        </w:rPr>
        <w:t>安全信息</w:t>
      </w:r>
    </w:p>
    <w:p>
      <w:pPr>
        <w:pStyle w:val="52"/>
        <w:numPr>
          <w:ilvl w:val="4"/>
          <w:numId w:val="5"/>
        </w:numPr>
        <w:ind w:left="0"/>
        <w:rPr>
          <w:rFonts w:ascii="宋体" w:hAnsi="宋体" w:eastAsia="宋体"/>
        </w:rPr>
      </w:pPr>
      <w:r>
        <w:rPr>
          <w:rFonts w:hint="eastAsia" w:ascii="宋体" w:hAnsi="宋体" w:eastAsia="宋体"/>
        </w:rPr>
        <w:t>在产品发动机、加油口、排气管消声器、工作部件等危险部位，应在附近明显位置上设置安全警示标志，安全标志应符合GB 10396的规定。</w:t>
      </w:r>
    </w:p>
    <w:p>
      <w:pPr>
        <w:pStyle w:val="52"/>
        <w:numPr>
          <w:ilvl w:val="4"/>
          <w:numId w:val="5"/>
        </w:numPr>
        <w:ind w:left="0"/>
        <w:rPr>
          <w:rFonts w:ascii="宋体" w:hAnsi="宋体" w:eastAsia="宋体"/>
        </w:rPr>
      </w:pPr>
      <w:r>
        <w:rPr>
          <w:rFonts w:hint="eastAsia" w:ascii="宋体" w:hAnsi="宋体" w:eastAsia="宋体"/>
        </w:rPr>
        <w:t>在采收机明显位置设置标置海上救生和逃生等注意事项。采收机上应有防止油品泄露污染环境的注意事项。</w:t>
      </w:r>
    </w:p>
    <w:p>
      <w:pPr>
        <w:pStyle w:val="52"/>
        <w:numPr>
          <w:ilvl w:val="4"/>
          <w:numId w:val="5"/>
        </w:numPr>
        <w:ind w:left="0"/>
        <w:rPr>
          <w:rFonts w:ascii="宋体" w:hAnsi="宋体" w:eastAsia="宋体"/>
        </w:rPr>
      </w:pPr>
      <w:r>
        <w:rPr>
          <w:rFonts w:hint="eastAsia" w:ascii="宋体" w:hAnsi="宋体" w:eastAsia="宋体"/>
        </w:rPr>
        <w:t>使用说明书中应有安全注意事项，产品上设置的安全警示标志应在使用说明书中复现。</w:t>
      </w:r>
    </w:p>
    <w:bookmarkEnd w:id="54"/>
    <w:p>
      <w:pPr>
        <w:pStyle w:val="51"/>
        <w:numPr>
          <w:ilvl w:val="3"/>
          <w:numId w:val="5"/>
        </w:numPr>
        <w:spacing w:before="156" w:beforeLines="50" w:after="156" w:afterLines="50"/>
        <w:ind w:left="0"/>
      </w:pPr>
      <w:bookmarkStart w:id="55" w:name="_Toc467523122"/>
      <w:r>
        <w:rPr>
          <w:rFonts w:hint="eastAsia"/>
        </w:rPr>
        <w:t>判定规则</w:t>
      </w:r>
      <w:bookmarkEnd w:id="55"/>
    </w:p>
    <w:p>
      <w:pPr>
        <w:pStyle w:val="52"/>
        <w:numPr>
          <w:ilvl w:val="4"/>
          <w:numId w:val="5"/>
        </w:numPr>
        <w:ind w:left="0"/>
        <w:rPr>
          <w:rFonts w:ascii="宋体" w:hAnsi="宋体" w:eastAsia="宋体"/>
        </w:rPr>
      </w:pPr>
      <w:r>
        <w:rPr>
          <w:rFonts w:hint="eastAsia" w:ascii="宋体" w:hAnsi="宋体" w:eastAsia="宋体"/>
        </w:rPr>
        <w:t>安全防护和安全信息均满足要求时，安全性检查结论为符合大纲要求；否则，安全性检查结论为不符合大纲要求。</w:t>
      </w:r>
    </w:p>
    <w:p>
      <w:pPr>
        <w:pStyle w:val="52"/>
        <w:numPr>
          <w:ilvl w:val="4"/>
          <w:numId w:val="5"/>
        </w:numPr>
        <w:ind w:left="0"/>
        <w:rPr>
          <w:rFonts w:ascii="宋体" w:hAnsi="宋体" w:eastAsia="宋体"/>
        </w:rPr>
      </w:pPr>
      <w:r>
        <w:rPr>
          <w:rFonts w:hint="eastAsia" w:ascii="宋体" w:hAnsi="宋体" w:eastAsia="宋体"/>
        </w:rPr>
        <w:t>安全性检查可采信具有资质的检验检测机构依据相关国家标准、行业标准、地方标准、团体标准或企业标准出具的检测报告，检测报告中至少应包括本大纲规定的检测项目并符合要求。</w:t>
      </w:r>
    </w:p>
    <w:p>
      <w:pPr>
        <w:pStyle w:val="49"/>
        <w:numPr>
          <w:ilvl w:val="2"/>
          <w:numId w:val="3"/>
        </w:numPr>
        <w:spacing w:before="120" w:after="120"/>
      </w:pPr>
      <w:bookmarkStart w:id="56" w:name="_Toc324942709"/>
      <w:bookmarkEnd w:id="56"/>
      <w:bookmarkStart w:id="57" w:name="_Toc324942642"/>
      <w:bookmarkEnd w:id="57"/>
      <w:bookmarkStart w:id="58" w:name="_Toc324942555"/>
      <w:bookmarkEnd w:id="58"/>
      <w:bookmarkStart w:id="59" w:name="_Toc324942641"/>
      <w:bookmarkEnd w:id="59"/>
      <w:bookmarkStart w:id="60" w:name="_Toc324942498"/>
      <w:bookmarkEnd w:id="60"/>
      <w:bookmarkStart w:id="61" w:name="_Toc324942497"/>
      <w:bookmarkEnd w:id="61"/>
      <w:bookmarkStart w:id="62" w:name="_Toc324942708"/>
      <w:bookmarkEnd w:id="62"/>
      <w:bookmarkStart w:id="63" w:name="_Toc324942554"/>
      <w:bookmarkEnd w:id="63"/>
      <w:bookmarkStart w:id="64" w:name="_Toc324942406"/>
      <w:bookmarkEnd w:id="64"/>
      <w:bookmarkStart w:id="65" w:name="_Toc324942407"/>
      <w:bookmarkEnd w:id="65"/>
      <w:bookmarkStart w:id="66" w:name="_Toc324942711"/>
      <w:bookmarkStart w:id="67" w:name="_Toc448934046"/>
      <w:bookmarkStart w:id="68" w:name="_Toc467524304"/>
      <w:bookmarkStart w:id="69" w:name="_Toc467523123"/>
      <w:bookmarkStart w:id="70" w:name="_Toc467523165"/>
      <w:bookmarkStart w:id="71" w:name="_Toc468654843"/>
      <w:bookmarkStart w:id="72" w:name="_Toc448869068"/>
      <w:bookmarkStart w:id="73" w:name="_Toc79049498"/>
      <w:bookmarkStart w:id="74" w:name="_Toc108784934"/>
      <w:r>
        <w:rPr>
          <w:rFonts w:hint="eastAsia"/>
        </w:rPr>
        <w:t>适用</w:t>
      </w:r>
      <w:bookmarkEnd w:id="66"/>
      <w:bookmarkEnd w:id="67"/>
      <w:bookmarkEnd w:id="68"/>
      <w:bookmarkEnd w:id="69"/>
      <w:bookmarkEnd w:id="70"/>
      <w:bookmarkEnd w:id="71"/>
      <w:bookmarkEnd w:id="72"/>
      <w:bookmarkEnd w:id="73"/>
      <w:r>
        <w:rPr>
          <w:rFonts w:hint="eastAsia"/>
        </w:rPr>
        <w:t>地区性能试验</w:t>
      </w:r>
      <w:bookmarkEnd w:id="74"/>
    </w:p>
    <w:p>
      <w:pPr>
        <w:pStyle w:val="51"/>
        <w:numPr>
          <w:ilvl w:val="3"/>
          <w:numId w:val="5"/>
        </w:numPr>
        <w:spacing w:before="156" w:beforeLines="50" w:after="156" w:afterLines="50"/>
        <w:ind w:left="0"/>
      </w:pPr>
      <w:r>
        <w:rPr>
          <w:rFonts w:hint="eastAsia"/>
        </w:rPr>
        <w:t>试验项目</w:t>
      </w:r>
    </w:p>
    <w:p>
      <w:pPr>
        <w:pStyle w:val="50"/>
        <w:ind w:firstLine="420"/>
      </w:pPr>
      <w:r>
        <w:rPr>
          <w:rFonts w:hint="eastAsia"/>
        </w:rPr>
        <w:t>试验项目包括采收机的抬升高度、采收率和生产能力等3项作业性能指标。</w:t>
      </w:r>
    </w:p>
    <w:p>
      <w:pPr>
        <w:pStyle w:val="51"/>
        <w:numPr>
          <w:ilvl w:val="3"/>
          <w:numId w:val="5"/>
        </w:numPr>
        <w:spacing w:before="156" w:beforeLines="50" w:after="156" w:afterLines="50"/>
        <w:ind w:left="0"/>
      </w:pPr>
      <w:r>
        <w:rPr>
          <w:rFonts w:hint="eastAsia"/>
        </w:rPr>
        <w:t>试验条件</w:t>
      </w:r>
    </w:p>
    <w:p>
      <w:pPr>
        <w:pStyle w:val="50"/>
        <w:numPr>
          <w:ilvl w:val="255"/>
          <w:numId w:val="0"/>
        </w:numPr>
      </w:pPr>
      <w:r>
        <w:rPr>
          <w:rFonts w:ascii="黑体" w:hAnsi="黑体" w:eastAsia="黑体" w:cs="黑体"/>
        </w:rPr>
        <w:t xml:space="preserve">5.4.2.1 </w:t>
      </w:r>
      <w:r>
        <w:rPr>
          <w:rFonts w:hint="eastAsia" w:hAnsi="宋体"/>
        </w:rPr>
        <w:t xml:space="preserve"> 试验开始前允许按照使用说明书的规定对样机进行试采和调整机具。根据当地采收要求，确定作业行进速度。操作员的作业技术应熟练。</w:t>
      </w:r>
    </w:p>
    <w:p>
      <w:pPr>
        <w:pStyle w:val="50"/>
        <w:numPr>
          <w:ilvl w:val="255"/>
          <w:numId w:val="0"/>
        </w:numPr>
      </w:pPr>
      <w:r>
        <w:rPr>
          <w:rFonts w:ascii="黑体" w:hAnsi="黑体" w:eastAsia="黑体" w:cs="黑体"/>
        </w:rPr>
        <w:t>5.4.2.2</w:t>
      </w:r>
      <w:r>
        <w:rPr>
          <w:rFonts w:hint="eastAsia"/>
        </w:rPr>
        <w:t xml:space="preserve">  试验地点应具有代表性，水面平静，无障碍物，保证采收机能够正常通行作业，作业条件应符合使用说明书要求。试验筏架累计有效长度至少为1</w:t>
      </w:r>
      <w:r>
        <w:t>00</w:t>
      </w:r>
      <w:r>
        <w:rPr>
          <w:rFonts w:hint="eastAsia"/>
        </w:rPr>
        <w:t>m。</w:t>
      </w:r>
    </w:p>
    <w:p>
      <w:pPr>
        <w:pStyle w:val="51"/>
        <w:numPr>
          <w:ilvl w:val="3"/>
          <w:numId w:val="5"/>
        </w:numPr>
        <w:spacing w:before="156" w:beforeLines="50" w:after="156" w:afterLines="50"/>
        <w:ind w:left="281" w:hanging="281" w:hangingChars="134"/>
      </w:pPr>
      <w:r>
        <w:rPr>
          <w:rFonts w:hint="eastAsia"/>
        </w:rPr>
        <w:t>试验方法</w:t>
      </w:r>
    </w:p>
    <w:p>
      <w:pPr>
        <w:pStyle w:val="52"/>
        <w:numPr>
          <w:ilvl w:val="0"/>
          <w:numId w:val="0"/>
        </w:numPr>
        <w:spacing w:before="156" w:beforeLines="50" w:after="156" w:afterLines="50"/>
        <w:rPr>
          <w:rFonts w:ascii="黑体" w:hAnsi="黑体" w:cs="黑体"/>
        </w:rPr>
      </w:pPr>
      <w:r>
        <w:rPr>
          <w:rFonts w:ascii="黑体" w:hAnsi="黑体" w:cs="黑体"/>
        </w:rPr>
        <w:t xml:space="preserve">5.4.3.1  </w:t>
      </w:r>
      <w:r>
        <w:rPr>
          <w:rFonts w:hint="eastAsia" w:ascii="黑体" w:hAnsi="黑体" w:cs="黑体"/>
        </w:rPr>
        <w:t>抬升高度</w:t>
      </w:r>
    </w:p>
    <w:p>
      <w:pPr>
        <w:widowControl/>
        <w:tabs>
          <w:tab w:val="center" w:pos="4201"/>
          <w:tab w:val="right" w:leader="dot" w:pos="9298"/>
        </w:tabs>
        <w:autoSpaceDE w:val="0"/>
        <w:autoSpaceDN w:val="0"/>
        <w:ind w:firstLine="430"/>
        <w:rPr>
          <w:rFonts w:asciiTheme="minorEastAsia" w:hAnsiTheme="minorEastAsia" w:eastAsiaTheme="minorEastAsia"/>
          <w:kern w:val="0"/>
          <w:szCs w:val="20"/>
        </w:rPr>
      </w:pPr>
      <w:r>
        <w:rPr>
          <w:rFonts w:hint="eastAsia" w:asciiTheme="minorEastAsia" w:hAnsiTheme="minorEastAsia" w:eastAsiaTheme="minorEastAsia"/>
        </w:rPr>
        <w:t>在有效采收作业区段内，测量牵引导轮上延绳距离海平面的垂直高度，沿采收机前进方向每隔</w:t>
      </w:r>
      <w:r>
        <w:rPr>
          <w:rFonts w:asciiTheme="minorEastAsia" w:hAnsiTheme="minorEastAsia" w:eastAsiaTheme="minorEastAsia"/>
        </w:rPr>
        <w:t>10</w:t>
      </w:r>
      <w:r>
        <w:rPr>
          <w:rFonts w:hint="eastAsia" w:asciiTheme="minorEastAsia" w:hAnsiTheme="minorEastAsia" w:eastAsiaTheme="minorEastAsia"/>
        </w:rPr>
        <w:t>m测1个点，共测10次，取平均值。</w:t>
      </w:r>
    </w:p>
    <w:p>
      <w:pPr>
        <w:pStyle w:val="52"/>
        <w:numPr>
          <w:ilvl w:val="0"/>
          <w:numId w:val="0"/>
        </w:numPr>
        <w:spacing w:before="156" w:beforeLines="50" w:after="156" w:afterLines="50"/>
        <w:rPr>
          <w:rFonts w:ascii="黑体" w:hAnsi="黑体"/>
        </w:rPr>
      </w:pPr>
      <w:r>
        <w:rPr>
          <w:rFonts w:hint="eastAsia" w:ascii="黑体" w:hAnsi="黑体"/>
        </w:rPr>
        <w:t>5.4.3.2  采收率</w:t>
      </w:r>
    </w:p>
    <w:p>
      <w:pPr>
        <w:pStyle w:val="116"/>
        <w:numPr>
          <w:ilvl w:val="0"/>
          <w:numId w:val="5"/>
        </w:numPr>
        <w:ind w:leftChars="0" w:firstLineChars="0"/>
      </w:pPr>
      <w:r>
        <w:rPr>
          <w:rFonts w:hint="eastAsia"/>
        </w:rPr>
        <w:t xml:space="preserve">    样机工作过程中，采集并记录相应有效采收作业区段内符合当地采收要求、掉落入海中的牡蛎质量，为漏捕牡蛎质量。样机工作累计有效长度的行程后，收集并记录采收机内采收的牡蛎质量。按公式（1）计算，计算结果精确到小数点后两位。</w:t>
      </w:r>
    </w:p>
    <w:p>
      <w:pPr>
        <w:pStyle w:val="113"/>
        <w:numPr>
          <w:ilvl w:val="0"/>
          <w:numId w:val="5"/>
        </w:numPr>
      </w:pPr>
      <w:r>
        <w:tab/>
      </w:r>
      <w:r>
        <w:rPr>
          <w:position w:val="-30"/>
        </w:rPr>
        <w:object>
          <v:shape id="_x0000_i1025" o:spt="75" type="#_x0000_t75" style="height:36pt;width:115.5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r>
        <w:tab/>
      </w:r>
      <w:r>
        <w:t>(</w:t>
      </w:r>
      <w:r>
        <w:fldChar w:fldCharType="begin"/>
      </w:r>
      <w:r>
        <w:instrText xml:space="preserve"> SEQ 标准自动公式 \* ARABIC </w:instrText>
      </w:r>
      <w:r>
        <w:fldChar w:fldCharType="separate"/>
      </w:r>
      <w:r>
        <w:t>1</w:t>
      </w:r>
      <w:r>
        <w:fldChar w:fldCharType="end"/>
      </w:r>
      <w:r>
        <w:t>)</w:t>
      </w:r>
    </w:p>
    <w:p>
      <w:pPr>
        <w:pStyle w:val="50"/>
        <w:numPr>
          <w:ilvl w:val="0"/>
          <w:numId w:val="5"/>
        </w:numPr>
        <w:ind w:firstLineChars="0"/>
      </w:pPr>
      <w:r>
        <w:rPr>
          <w:rFonts w:hint="eastAsia"/>
        </w:rPr>
        <w:t xml:space="preserve">    式中：</w:t>
      </w:r>
    </w:p>
    <w:p>
      <w:pPr>
        <w:pStyle w:val="50"/>
        <w:numPr>
          <w:ilvl w:val="0"/>
          <w:numId w:val="5"/>
        </w:numPr>
        <w:ind w:firstLineChars="0"/>
      </w:pPr>
      <w:r>
        <w:rPr>
          <w:rFonts w:hint="eastAsia"/>
          <w:i/>
          <w:iCs/>
        </w:rPr>
        <w:t xml:space="preserve">    F</w:t>
      </w:r>
      <w:r>
        <w:rPr>
          <w:rFonts w:hint="eastAsia"/>
          <w:i/>
          <w:iCs/>
          <w:vertAlign w:val="subscript"/>
        </w:rPr>
        <w:t>C</w:t>
      </w:r>
      <w:r>
        <w:rPr>
          <w:rFonts w:hint="eastAsia"/>
        </w:rPr>
        <w:t>——采收率；</w:t>
      </w:r>
    </w:p>
    <w:p>
      <w:pPr>
        <w:pStyle w:val="50"/>
        <w:numPr>
          <w:ilvl w:val="0"/>
          <w:numId w:val="5"/>
        </w:numPr>
        <w:ind w:firstLineChars="0"/>
      </w:pPr>
      <w:r>
        <w:rPr>
          <w:rFonts w:hint="eastAsia"/>
          <w:i/>
          <w:iCs/>
        </w:rPr>
        <w:t xml:space="preserve">    W</w:t>
      </w:r>
      <w:r>
        <w:rPr>
          <w:rFonts w:hint="eastAsia"/>
          <w:i/>
          <w:iCs/>
          <w:vertAlign w:val="subscript"/>
        </w:rPr>
        <w:t>C</w:t>
      </w:r>
      <w:r>
        <w:rPr>
          <w:rFonts w:hint="eastAsia"/>
        </w:rPr>
        <w:t>——采收牡蛎质量，单位为千克（kg）；</w:t>
      </w:r>
    </w:p>
    <w:p>
      <w:pPr>
        <w:pStyle w:val="50"/>
        <w:numPr>
          <w:ilvl w:val="0"/>
          <w:numId w:val="5"/>
        </w:numPr>
        <w:ind w:firstLineChars="0"/>
      </w:pPr>
      <w:r>
        <w:rPr>
          <w:rFonts w:hint="eastAsia"/>
          <w:i/>
          <w:iCs/>
        </w:rPr>
        <w:t xml:space="preserve">    W</w:t>
      </w:r>
      <w:r>
        <w:rPr>
          <w:rFonts w:hint="eastAsia"/>
          <w:i/>
          <w:iCs/>
          <w:vertAlign w:val="subscript"/>
        </w:rPr>
        <w:t>L</w:t>
      </w:r>
      <w:r>
        <w:rPr>
          <w:rFonts w:hint="eastAsia"/>
        </w:rPr>
        <w:t>——漏捕牡蛎质量，单位为千克（kg）。</w:t>
      </w:r>
    </w:p>
    <w:p>
      <w:pPr>
        <w:pStyle w:val="52"/>
        <w:numPr>
          <w:ilvl w:val="0"/>
          <w:numId w:val="0"/>
        </w:numPr>
        <w:spacing w:before="156" w:beforeLines="50" w:after="156" w:afterLines="50"/>
        <w:rPr>
          <w:rFonts w:ascii="黑体" w:hAnsi="黑体"/>
        </w:rPr>
      </w:pPr>
      <w:r>
        <w:rPr>
          <w:rFonts w:hint="eastAsia" w:ascii="黑体" w:hAnsi="黑体"/>
        </w:rPr>
        <w:t>5.4.3.3  生产能力</w:t>
      </w:r>
    </w:p>
    <w:p>
      <w:pPr>
        <w:pStyle w:val="50"/>
        <w:ind w:firstLine="420"/>
      </w:pPr>
      <w:r>
        <w:rPr>
          <w:rFonts w:hint="eastAsia"/>
        </w:rPr>
        <w:t>记录采收机通过有效采收作业区段时间，称量采收的牡蛎质量，按公式（2）计算，计算结果精确到小数点后两位。</w:t>
      </w:r>
    </w:p>
    <w:p>
      <w:pPr>
        <w:pStyle w:val="113"/>
        <w:numPr>
          <w:ilvl w:val="0"/>
          <w:numId w:val="5"/>
        </w:numPr>
      </w:pPr>
      <w:r>
        <w:tab/>
      </w:r>
      <w:r>
        <w:rPr>
          <w:i/>
          <w:position w:val="-24"/>
        </w:rPr>
        <w:object>
          <v:shape id="_x0000_i1026" o:spt="75" type="#_x0000_t75" style="height:33pt;width:80.2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r>
        <w:tab/>
      </w:r>
      <w:r>
        <w:t>(2)</w:t>
      </w:r>
    </w:p>
    <w:p>
      <w:pPr>
        <w:pStyle w:val="50"/>
        <w:numPr>
          <w:ilvl w:val="0"/>
          <w:numId w:val="5"/>
        </w:numPr>
        <w:ind w:firstLineChars="0"/>
      </w:pPr>
      <w:r>
        <w:rPr>
          <w:rFonts w:hint="eastAsia"/>
        </w:rPr>
        <w:t xml:space="preserve">    式中：</w:t>
      </w:r>
    </w:p>
    <w:p>
      <w:pPr>
        <w:pStyle w:val="50"/>
        <w:numPr>
          <w:ilvl w:val="0"/>
          <w:numId w:val="5"/>
        </w:numPr>
        <w:ind w:firstLineChars="0"/>
      </w:pPr>
      <w:r>
        <w:rPr>
          <w:rFonts w:hint="eastAsia"/>
          <w:i/>
          <w:iCs/>
        </w:rPr>
        <w:t xml:space="preserve">    S</w:t>
      </w:r>
      <w:r>
        <w:rPr>
          <w:rFonts w:hint="eastAsia"/>
          <w:i/>
          <w:iCs/>
          <w:vertAlign w:val="subscript"/>
        </w:rPr>
        <w:t>C</w:t>
      </w:r>
      <w:r>
        <w:rPr>
          <w:rFonts w:hint="eastAsia"/>
        </w:rPr>
        <w:t>——生产能力，单位为吨每小时（t</w:t>
      </w:r>
      <w:r>
        <w:t>/h</w:t>
      </w:r>
      <w:r>
        <w:rPr>
          <w:rFonts w:hint="eastAsia"/>
        </w:rPr>
        <w:t>）；</w:t>
      </w:r>
    </w:p>
    <w:p>
      <w:pPr>
        <w:pStyle w:val="50"/>
        <w:numPr>
          <w:ilvl w:val="0"/>
          <w:numId w:val="5"/>
        </w:numPr>
        <w:ind w:firstLineChars="0"/>
      </w:pPr>
      <w:r>
        <w:rPr>
          <w:rFonts w:hint="eastAsia"/>
          <w:i/>
          <w:iCs/>
        </w:rPr>
        <w:t xml:space="preserve">    W</w:t>
      </w:r>
      <w:r>
        <w:rPr>
          <w:rFonts w:hint="eastAsia"/>
          <w:i/>
          <w:iCs/>
          <w:vertAlign w:val="subscript"/>
        </w:rPr>
        <w:t>C</w:t>
      </w:r>
      <w:r>
        <w:rPr>
          <w:rFonts w:hint="eastAsia"/>
        </w:rPr>
        <w:t>——采收牡蛎质量，单位为千克（</w:t>
      </w:r>
      <w:r>
        <w:t>kg</w:t>
      </w:r>
      <w:r>
        <w:rPr>
          <w:rFonts w:hint="eastAsia"/>
        </w:rPr>
        <w:t>）；</w:t>
      </w:r>
    </w:p>
    <w:p>
      <w:pPr>
        <w:pStyle w:val="50"/>
        <w:numPr>
          <w:ilvl w:val="0"/>
          <w:numId w:val="5"/>
        </w:numPr>
        <w:ind w:firstLineChars="0"/>
      </w:pPr>
      <w:r>
        <w:rPr>
          <w:rFonts w:hint="eastAsia"/>
          <w:i/>
          <w:iCs/>
        </w:rPr>
        <w:t xml:space="preserve">    t</w:t>
      </w:r>
      <w:r>
        <w:rPr>
          <w:rFonts w:hint="eastAsia"/>
        </w:rPr>
        <w:t>——通过有效采收区段时间，单位为秒（</w:t>
      </w:r>
      <w:r>
        <w:t>s</w:t>
      </w:r>
      <w:r>
        <w:rPr>
          <w:rFonts w:hint="eastAsia"/>
        </w:rPr>
        <w:t>）。</w:t>
      </w:r>
    </w:p>
    <w:p>
      <w:pPr>
        <w:pStyle w:val="51"/>
        <w:numPr>
          <w:ilvl w:val="0"/>
          <w:numId w:val="0"/>
        </w:numPr>
        <w:spacing w:before="156" w:beforeLines="50" w:after="156" w:afterLines="50"/>
      </w:pPr>
      <w:bookmarkStart w:id="75" w:name="_Toc467523128"/>
      <w:r>
        <w:rPr>
          <w:rFonts w:ascii="黑体" w:hAnsi="黑体"/>
        </w:rPr>
        <w:t>5.</w:t>
      </w:r>
      <w:r>
        <w:rPr>
          <w:rFonts w:hint="eastAsia" w:ascii="黑体" w:hAnsi="黑体"/>
        </w:rPr>
        <w:t>4.</w:t>
      </w:r>
      <w:r>
        <w:rPr>
          <w:rFonts w:ascii="黑体" w:hAnsi="黑体"/>
        </w:rPr>
        <w:t>4</w:t>
      </w:r>
      <w:r>
        <w:rPr>
          <w:rFonts w:hint="eastAsia" w:ascii="黑体" w:hAnsi="黑体"/>
        </w:rPr>
        <w:t xml:space="preserve">  </w:t>
      </w:r>
      <w:r>
        <w:rPr>
          <w:rFonts w:hint="eastAsia"/>
        </w:rPr>
        <w:t>判定规则</w:t>
      </w:r>
      <w:bookmarkEnd w:id="75"/>
    </w:p>
    <w:p>
      <w:pPr>
        <w:pStyle w:val="51"/>
        <w:numPr>
          <w:ilvl w:val="0"/>
          <w:numId w:val="0"/>
        </w:numPr>
        <w:spacing w:before="156" w:beforeLines="50" w:after="156" w:afterLines="50"/>
        <w:rPr>
          <w:rFonts w:ascii="宋体" w:eastAsia="宋体"/>
        </w:rPr>
      </w:pPr>
      <w:r>
        <w:rPr>
          <w:rFonts w:ascii="黑体" w:hAnsi="黑体"/>
        </w:rPr>
        <w:t>5.</w:t>
      </w:r>
      <w:r>
        <w:rPr>
          <w:rFonts w:hint="eastAsia" w:ascii="黑体" w:hAnsi="黑体"/>
        </w:rPr>
        <w:t>4.</w:t>
      </w:r>
      <w:r>
        <w:rPr>
          <w:rFonts w:ascii="黑体" w:hAnsi="黑体"/>
        </w:rPr>
        <w:t>4.1</w:t>
      </w:r>
      <w:r>
        <w:rPr>
          <w:rFonts w:hint="eastAsia" w:ascii="宋体" w:eastAsia="宋体"/>
        </w:rPr>
        <w:t xml:space="preserve">  性能试验结果满足表3要求时，或制造商提供的检验检测报告、实地试验验证报告满足表3要求时，适用地区性能试验结论为符合大纲要求；否则，适用地区性能试验结论为不符合大纲要求。</w:t>
      </w:r>
    </w:p>
    <w:p>
      <w:pPr>
        <w:pStyle w:val="51"/>
        <w:numPr>
          <w:ilvl w:val="0"/>
          <w:numId w:val="0"/>
        </w:numPr>
        <w:spacing w:before="156" w:beforeLines="50" w:after="156" w:afterLines="50"/>
      </w:pPr>
      <w:r>
        <w:rPr>
          <w:rFonts w:ascii="黑体" w:hAnsi="黑体"/>
        </w:rPr>
        <w:t>5.</w:t>
      </w:r>
      <w:r>
        <w:rPr>
          <w:rFonts w:hint="eastAsia" w:ascii="黑体" w:hAnsi="黑体"/>
        </w:rPr>
        <w:t>4.</w:t>
      </w:r>
      <w:r>
        <w:rPr>
          <w:rFonts w:ascii="黑体" w:hAnsi="黑体"/>
        </w:rPr>
        <w:t>4.2</w:t>
      </w:r>
      <w:r>
        <w:rPr>
          <w:rFonts w:hint="eastAsia" w:ascii="宋体" w:eastAsia="宋体"/>
        </w:rPr>
        <w:t xml:space="preserve">  适用地区性能试验可采信县级以上农机管理部门、鉴定、推广、科研等单位开展的实地试验验证报告，或具有资质的检验检测机构依据相关国家标准、行业标准、地方标准、团体标准或企业标准出具的检验检测报告，检验检测报告或实地试验验证报告中至少应包括本大纲所规定的性能试验项目并符合要求</w:t>
      </w:r>
      <w:r>
        <w:rPr>
          <w:rFonts w:hint="eastAsia"/>
        </w:rPr>
        <w:t>。</w:t>
      </w:r>
    </w:p>
    <w:p>
      <w:pPr>
        <w:pStyle w:val="49"/>
        <w:numPr>
          <w:ilvl w:val="0"/>
          <w:numId w:val="0"/>
        </w:numPr>
        <w:spacing w:before="120" w:after="120"/>
      </w:pPr>
      <w:bookmarkStart w:id="76" w:name="_Toc468654845"/>
      <w:bookmarkStart w:id="77" w:name="_Toc467524306"/>
      <w:bookmarkStart w:id="78" w:name="_Toc448934048"/>
      <w:bookmarkStart w:id="79" w:name="_Toc79049500"/>
      <w:bookmarkStart w:id="80" w:name="_Toc467523167"/>
      <w:bookmarkStart w:id="81" w:name="_Toc467523134"/>
      <w:bookmarkStart w:id="82" w:name="_Toc108784935"/>
      <w:r>
        <w:rPr>
          <w:rFonts w:ascii="黑体" w:hAnsi="黑体"/>
        </w:rPr>
        <w:t>5.5</w:t>
      </w:r>
      <w:r>
        <w:rPr>
          <w:rFonts w:hint="eastAsia"/>
        </w:rPr>
        <w:t xml:space="preserve">  综合判定规则</w:t>
      </w:r>
      <w:bookmarkEnd w:id="76"/>
      <w:bookmarkEnd w:id="77"/>
      <w:bookmarkEnd w:id="78"/>
      <w:bookmarkEnd w:id="79"/>
      <w:bookmarkEnd w:id="80"/>
      <w:bookmarkEnd w:id="81"/>
      <w:bookmarkEnd w:id="82"/>
    </w:p>
    <w:p>
      <w:pPr>
        <w:pStyle w:val="51"/>
        <w:numPr>
          <w:ilvl w:val="0"/>
          <w:numId w:val="0"/>
        </w:numPr>
        <w:spacing w:before="156" w:beforeLines="50" w:after="156" w:afterLines="50"/>
        <w:rPr>
          <w:rFonts w:asciiTheme="minorEastAsia" w:hAnsiTheme="minorEastAsia" w:eastAsiaTheme="minorEastAsia"/>
        </w:rPr>
      </w:pPr>
      <w:r>
        <w:rPr>
          <w:rFonts w:ascii="黑体" w:hAnsi="黑体"/>
        </w:rPr>
        <w:t>5.</w:t>
      </w:r>
      <w:r>
        <w:rPr>
          <w:rFonts w:hint="eastAsia" w:ascii="黑体" w:hAnsi="黑体"/>
        </w:rPr>
        <w:t xml:space="preserve">5.1  </w:t>
      </w:r>
      <w:r>
        <w:rPr>
          <w:rFonts w:hint="eastAsia" w:asciiTheme="minorEastAsia" w:hAnsiTheme="minorEastAsia" w:eastAsiaTheme="minorEastAsia"/>
        </w:rPr>
        <w:t>一致性检查、创新性评价、安全性检查、适用地区性能试验为一级指标，其包含的各检查项目为二级指标。指标分级与要求见表</w:t>
      </w:r>
      <w:r>
        <w:rPr>
          <w:rFonts w:asciiTheme="minorEastAsia" w:hAnsiTheme="minorEastAsia" w:eastAsiaTheme="minorEastAsia"/>
        </w:rPr>
        <w:t>3</w:t>
      </w:r>
      <w:r>
        <w:rPr>
          <w:rFonts w:hint="eastAsia" w:asciiTheme="minorEastAsia" w:hAnsiTheme="minorEastAsia" w:eastAsiaTheme="minorEastAsia"/>
        </w:rPr>
        <w:t>。</w:t>
      </w:r>
    </w:p>
    <w:p>
      <w:pPr>
        <w:pStyle w:val="54"/>
        <w:ind w:left="0"/>
      </w:pPr>
      <w:r>
        <w:rPr>
          <w:rFonts w:hint="eastAsia"/>
        </w:rPr>
        <w:t>综合判定</w:t>
      </w:r>
    </w:p>
    <w:tbl>
      <w:tblPr>
        <w:tblStyle w:val="31"/>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9"/>
        <w:gridCol w:w="725"/>
        <w:gridCol w:w="2331"/>
        <w:gridCol w:w="1163"/>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4" w:type="pct"/>
            <w:vMerge w:val="restart"/>
            <w:tcBorders>
              <w:top w:val="single" w:color="auto" w:sz="4" w:space="0"/>
              <w:left w:val="single" w:color="auto" w:sz="4" w:space="0"/>
              <w:right w:val="single" w:color="auto" w:sz="4" w:space="0"/>
            </w:tcBorders>
            <w:vAlign w:val="center"/>
          </w:tcPr>
          <w:p>
            <w:pPr>
              <w:widowControl/>
              <w:ind w:left="-105" w:leftChars="-50" w:right="-105" w:rightChars="-50"/>
              <w:jc w:val="center"/>
              <w:rPr>
                <w:rFonts w:ascii="宋体" w:hAnsi="宋体"/>
                <w:sz w:val="18"/>
                <w:szCs w:val="18"/>
              </w:rPr>
            </w:pPr>
            <w:r>
              <w:rPr>
                <w:rFonts w:hint="eastAsia" w:ascii="宋体" w:hAnsi="宋体"/>
                <w:sz w:val="18"/>
                <w:szCs w:val="18"/>
              </w:rPr>
              <w:t>一级指标</w:t>
            </w:r>
          </w:p>
        </w:tc>
        <w:tc>
          <w:tcPr>
            <w:tcW w:w="3996" w:type="pct"/>
            <w:gridSpan w:val="4"/>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4" w:type="pct"/>
            <w:vMerge w:val="continue"/>
            <w:tcBorders>
              <w:left w:val="single" w:color="auto" w:sz="4" w:space="0"/>
              <w:bottom w:val="single" w:color="auto" w:sz="4" w:space="0"/>
              <w:right w:val="single" w:color="auto" w:sz="4" w:space="0"/>
            </w:tcBorders>
            <w:vAlign w:val="center"/>
          </w:tcPr>
          <w:p>
            <w:pPr>
              <w:widowControl/>
              <w:ind w:left="-105" w:leftChars="-50" w:right="-105" w:rightChars="-50"/>
              <w:jc w:val="left"/>
              <w:rPr>
                <w:rFonts w:ascii="宋体" w:hAnsi="宋体"/>
                <w:sz w:val="18"/>
                <w:szCs w:val="18"/>
              </w:rPr>
            </w:pPr>
          </w:p>
        </w:tc>
        <w:tc>
          <w:tcPr>
            <w:tcW w:w="379" w:type="pct"/>
            <w:tcBorders>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序号</w:t>
            </w:r>
          </w:p>
        </w:tc>
        <w:tc>
          <w:tcPr>
            <w:tcW w:w="121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项目</w:t>
            </w:r>
          </w:p>
        </w:tc>
        <w:tc>
          <w:tcPr>
            <w:tcW w:w="608" w:type="pct"/>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ascii="宋体" w:hAnsi="宋体"/>
                <w:sz w:val="18"/>
                <w:szCs w:val="18"/>
              </w:rPr>
            </w:pPr>
            <w:r>
              <w:rPr>
                <w:rFonts w:hint="eastAsia" w:ascii="宋体" w:hAnsi="宋体"/>
                <w:sz w:val="18"/>
                <w:szCs w:val="18"/>
              </w:rPr>
              <w:t>单位</w:t>
            </w:r>
          </w:p>
        </w:tc>
        <w:tc>
          <w:tcPr>
            <w:tcW w:w="17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4" w:type="pct"/>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ascii="宋体" w:hAnsi="宋体"/>
                <w:sz w:val="18"/>
                <w:szCs w:val="18"/>
              </w:rPr>
            </w:pPr>
            <w:r>
              <w:rPr>
                <w:rFonts w:hint="eastAsia" w:ascii="宋体" w:hAnsi="宋体"/>
                <w:sz w:val="18"/>
                <w:szCs w:val="18"/>
              </w:rPr>
              <w:t>一致性检查</w:t>
            </w: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w:t>
            </w:r>
          </w:p>
        </w:tc>
        <w:tc>
          <w:tcPr>
            <w:tcW w:w="1219"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r>
              <w:rPr>
                <w:rFonts w:hint="eastAsia" w:ascii="宋体" w:hAnsi="宋体"/>
                <w:bCs/>
                <w:sz w:val="18"/>
                <w:szCs w:val="18"/>
              </w:rPr>
              <w:t>见表</w:t>
            </w:r>
            <w:r>
              <w:rPr>
                <w:rFonts w:ascii="宋体" w:hAnsi="宋体"/>
                <w:bCs/>
                <w:sz w:val="18"/>
                <w:szCs w:val="18"/>
              </w:rPr>
              <w:t>2</w:t>
            </w:r>
          </w:p>
        </w:tc>
        <w:tc>
          <w:tcPr>
            <w:tcW w:w="608" w:type="pct"/>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ascii="宋体" w:hAnsi="宋体"/>
                <w:sz w:val="18"/>
                <w:szCs w:val="18"/>
              </w:rPr>
            </w:pPr>
            <w:r>
              <w:rPr>
                <w:rFonts w:hint="eastAsia" w:ascii="宋体" w:hAnsi="宋体"/>
                <w:sz w:val="18"/>
                <w:szCs w:val="18"/>
              </w:rPr>
              <w:t>/</w:t>
            </w:r>
          </w:p>
        </w:tc>
        <w:tc>
          <w:tcPr>
            <w:tcW w:w="17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符合</w:t>
            </w:r>
            <w:r>
              <w:rPr>
                <w:rFonts w:hint="eastAsia" w:ascii="宋体" w:hAnsi="宋体"/>
                <w:bCs/>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4" w:type="pct"/>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ascii="宋体" w:hAnsi="宋体"/>
                <w:sz w:val="18"/>
                <w:szCs w:val="18"/>
              </w:rPr>
            </w:pPr>
            <w:r>
              <w:rPr>
                <w:rFonts w:hint="eastAsia" w:ascii="宋体" w:hAnsi="宋体"/>
                <w:sz w:val="18"/>
                <w:szCs w:val="18"/>
              </w:rPr>
              <w:t>创新性评价</w:t>
            </w: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w:t>
            </w:r>
          </w:p>
        </w:tc>
        <w:tc>
          <w:tcPr>
            <w:tcW w:w="1219"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bCs/>
                <w:sz w:val="18"/>
                <w:szCs w:val="18"/>
              </w:rPr>
            </w:pPr>
            <w:r>
              <w:rPr>
                <w:rFonts w:hint="eastAsia" w:ascii="宋体" w:hAnsi="宋体"/>
                <w:bCs/>
                <w:sz w:val="18"/>
                <w:szCs w:val="18"/>
              </w:rPr>
              <w:t>见5.2.1</w:t>
            </w:r>
          </w:p>
        </w:tc>
        <w:tc>
          <w:tcPr>
            <w:tcW w:w="608" w:type="pct"/>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ascii="宋体" w:hAnsi="宋体"/>
                <w:sz w:val="18"/>
                <w:szCs w:val="18"/>
              </w:rPr>
            </w:pPr>
          </w:p>
        </w:tc>
        <w:tc>
          <w:tcPr>
            <w:tcW w:w="179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符合本大纲5.2.2的要求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4" w:type="pct"/>
            <w:vMerge w:val="restart"/>
            <w:tcBorders>
              <w:top w:val="single" w:color="auto" w:sz="4" w:space="0"/>
              <w:left w:val="single" w:color="auto" w:sz="4" w:space="0"/>
              <w:right w:val="single" w:color="auto" w:sz="4" w:space="0"/>
            </w:tcBorders>
            <w:vAlign w:val="center"/>
          </w:tcPr>
          <w:p>
            <w:pPr>
              <w:ind w:left="-105" w:leftChars="-50" w:right="-105" w:rightChars="-50"/>
              <w:jc w:val="center"/>
              <w:rPr>
                <w:rFonts w:ascii="宋体" w:hAnsi="宋体"/>
                <w:sz w:val="18"/>
                <w:szCs w:val="18"/>
              </w:rPr>
            </w:pPr>
            <w:r>
              <w:rPr>
                <w:rFonts w:hint="eastAsia" w:ascii="宋体" w:hAnsi="宋体"/>
                <w:sz w:val="18"/>
                <w:szCs w:val="18"/>
              </w:rPr>
              <w:t>安全性评价</w:t>
            </w:r>
          </w:p>
        </w:tc>
        <w:tc>
          <w:tcPr>
            <w:tcW w:w="379" w:type="pct"/>
            <w:tcBorders>
              <w:top w:val="single" w:color="auto" w:sz="4" w:space="0"/>
              <w:left w:val="single" w:color="auto" w:sz="4" w:space="0"/>
              <w:bottom w:val="single" w:color="auto" w:sz="4" w:space="0"/>
              <w:right w:val="single" w:color="auto" w:sz="4" w:space="0"/>
            </w:tcBorders>
            <w:vAlign w:val="center"/>
          </w:tcPr>
          <w:p>
            <w:pPr>
              <w:pStyle w:val="50"/>
              <w:ind w:firstLine="0" w:firstLineChars="0"/>
              <w:jc w:val="center"/>
              <w:rPr>
                <w:rFonts w:hAnsi="宋体"/>
                <w:bCs/>
                <w:sz w:val="18"/>
                <w:szCs w:val="18"/>
              </w:rPr>
            </w:pPr>
            <w:r>
              <w:rPr>
                <w:rFonts w:hint="eastAsia" w:hAnsi="宋体"/>
                <w:bCs/>
                <w:sz w:val="18"/>
                <w:szCs w:val="18"/>
              </w:rPr>
              <w:t>1</w:t>
            </w:r>
          </w:p>
        </w:tc>
        <w:tc>
          <w:tcPr>
            <w:tcW w:w="1219" w:type="pct"/>
            <w:tcBorders>
              <w:top w:val="single" w:color="auto" w:sz="4" w:space="0"/>
              <w:left w:val="single" w:color="auto" w:sz="4" w:space="0"/>
              <w:bottom w:val="single" w:color="auto" w:sz="4" w:space="0"/>
              <w:right w:val="single" w:color="auto" w:sz="4" w:space="0"/>
            </w:tcBorders>
            <w:vAlign w:val="center"/>
          </w:tcPr>
          <w:p>
            <w:pPr>
              <w:pStyle w:val="50"/>
              <w:ind w:firstLine="0" w:firstLineChars="0"/>
              <w:jc w:val="left"/>
              <w:rPr>
                <w:rFonts w:hAnsi="宋体"/>
                <w:bCs/>
                <w:sz w:val="18"/>
                <w:szCs w:val="18"/>
              </w:rPr>
            </w:pPr>
            <w:r>
              <w:rPr>
                <w:rFonts w:hint="eastAsia" w:hAnsi="宋体"/>
                <w:bCs/>
                <w:sz w:val="18"/>
                <w:szCs w:val="18"/>
              </w:rPr>
              <w:t>安全防护</w:t>
            </w:r>
          </w:p>
        </w:tc>
        <w:tc>
          <w:tcPr>
            <w:tcW w:w="608" w:type="pct"/>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ascii="宋体" w:hAnsi="宋体"/>
                <w:sz w:val="18"/>
                <w:szCs w:val="18"/>
              </w:rPr>
            </w:pPr>
            <w:r>
              <w:rPr>
                <w:rFonts w:hint="eastAsia" w:ascii="宋体" w:hAnsi="宋体"/>
                <w:sz w:val="18"/>
                <w:szCs w:val="18"/>
              </w:rPr>
              <w:t>/</w:t>
            </w:r>
          </w:p>
        </w:tc>
        <w:tc>
          <w:tcPr>
            <w:tcW w:w="1791" w:type="pct"/>
            <w:tcBorders>
              <w:top w:val="single" w:color="auto" w:sz="4" w:space="0"/>
              <w:left w:val="single" w:color="auto" w:sz="4" w:space="0"/>
              <w:bottom w:val="single" w:color="auto" w:sz="4" w:space="0"/>
              <w:right w:val="single" w:color="auto" w:sz="4" w:space="0"/>
            </w:tcBorders>
            <w:vAlign w:val="center"/>
          </w:tcPr>
          <w:p>
            <w:pPr>
              <w:pStyle w:val="50"/>
              <w:ind w:firstLine="0" w:firstLineChars="0"/>
              <w:jc w:val="center"/>
              <w:rPr>
                <w:rFonts w:hAnsi="宋体"/>
                <w:bCs/>
                <w:sz w:val="18"/>
                <w:szCs w:val="18"/>
              </w:rPr>
            </w:pPr>
            <w:r>
              <w:rPr>
                <w:rFonts w:hint="eastAsia" w:hAnsi="宋体"/>
                <w:bCs/>
                <w:sz w:val="18"/>
                <w:szCs w:val="18"/>
              </w:rPr>
              <w:t>符合本大纲</w:t>
            </w:r>
            <w:r>
              <w:rPr>
                <w:rFonts w:hAnsi="宋体"/>
                <w:bCs/>
                <w:sz w:val="18"/>
                <w:szCs w:val="18"/>
              </w:rPr>
              <w:t>5</w:t>
            </w:r>
            <w:r>
              <w:rPr>
                <w:rFonts w:hint="eastAsia" w:hAnsi="宋体"/>
                <w:bCs/>
                <w:sz w:val="18"/>
                <w:szCs w:val="18"/>
              </w:rPr>
              <w:t>.</w:t>
            </w:r>
            <w:r>
              <w:rPr>
                <w:rFonts w:hAnsi="宋体"/>
                <w:bCs/>
                <w:sz w:val="18"/>
                <w:szCs w:val="18"/>
              </w:rPr>
              <w:t>3</w:t>
            </w:r>
            <w:r>
              <w:rPr>
                <w:rFonts w:hint="eastAsia" w:hAnsi="宋体"/>
                <w:bCs/>
                <w:sz w:val="18"/>
                <w:szCs w:val="18"/>
              </w:rPr>
              <w:t>.</w:t>
            </w:r>
            <w:r>
              <w:rPr>
                <w:rFonts w:hAnsi="宋体"/>
                <w:bCs/>
                <w:sz w:val="18"/>
                <w:szCs w:val="18"/>
              </w:rPr>
              <w:t>1</w:t>
            </w:r>
            <w:r>
              <w:rPr>
                <w:rFonts w:hint="eastAsia" w:hAnsi="宋体"/>
                <w:bCs/>
                <w:sz w:val="18"/>
                <w:szCs w:val="18"/>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4" w:type="pct"/>
            <w:vMerge w:val="continue"/>
            <w:tcBorders>
              <w:top w:val="single" w:color="auto" w:sz="4" w:space="0"/>
              <w:left w:val="single" w:color="auto" w:sz="4" w:space="0"/>
              <w:right w:val="single" w:color="auto" w:sz="4" w:space="0"/>
            </w:tcBorders>
            <w:vAlign w:val="center"/>
          </w:tcPr>
          <w:p>
            <w:pPr>
              <w:ind w:left="-105" w:leftChars="-50" w:right="-105" w:rightChars="-50"/>
              <w:jc w:val="center"/>
              <w:rPr>
                <w:rFonts w:ascii="宋体" w:hAnsi="宋体"/>
                <w:sz w:val="18"/>
                <w:szCs w:val="18"/>
              </w:rPr>
            </w:pPr>
          </w:p>
        </w:tc>
        <w:tc>
          <w:tcPr>
            <w:tcW w:w="379" w:type="pct"/>
            <w:tcBorders>
              <w:top w:val="single" w:color="auto" w:sz="4" w:space="0"/>
              <w:left w:val="single" w:color="auto" w:sz="4" w:space="0"/>
              <w:bottom w:val="single" w:color="auto" w:sz="4" w:space="0"/>
              <w:right w:val="single" w:color="auto" w:sz="4" w:space="0"/>
            </w:tcBorders>
            <w:vAlign w:val="center"/>
          </w:tcPr>
          <w:p>
            <w:pPr>
              <w:pStyle w:val="50"/>
              <w:ind w:firstLine="0" w:firstLineChars="0"/>
              <w:jc w:val="center"/>
              <w:rPr>
                <w:rFonts w:hAnsi="宋体"/>
                <w:bCs/>
                <w:sz w:val="18"/>
                <w:szCs w:val="18"/>
              </w:rPr>
            </w:pPr>
            <w:r>
              <w:rPr>
                <w:rFonts w:hAnsi="宋体"/>
                <w:bCs/>
                <w:sz w:val="18"/>
                <w:szCs w:val="18"/>
              </w:rPr>
              <w:t>2</w:t>
            </w:r>
          </w:p>
        </w:tc>
        <w:tc>
          <w:tcPr>
            <w:tcW w:w="1219" w:type="pct"/>
            <w:tcBorders>
              <w:top w:val="single" w:color="auto" w:sz="4" w:space="0"/>
              <w:left w:val="single" w:color="auto" w:sz="4" w:space="0"/>
              <w:bottom w:val="single" w:color="auto" w:sz="4" w:space="0"/>
              <w:right w:val="single" w:color="auto" w:sz="4" w:space="0"/>
            </w:tcBorders>
            <w:vAlign w:val="center"/>
          </w:tcPr>
          <w:p>
            <w:pPr>
              <w:pStyle w:val="50"/>
              <w:ind w:firstLine="0" w:firstLineChars="0"/>
              <w:jc w:val="left"/>
              <w:rPr>
                <w:rFonts w:hAnsi="宋体"/>
                <w:bCs/>
                <w:sz w:val="18"/>
                <w:szCs w:val="18"/>
              </w:rPr>
            </w:pPr>
            <w:r>
              <w:rPr>
                <w:rFonts w:hint="eastAsia" w:hAnsi="宋体"/>
                <w:bCs/>
                <w:sz w:val="18"/>
                <w:szCs w:val="18"/>
              </w:rPr>
              <w:t>安全信息</w:t>
            </w:r>
          </w:p>
        </w:tc>
        <w:tc>
          <w:tcPr>
            <w:tcW w:w="608" w:type="pct"/>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ascii="宋体" w:hAnsi="宋体"/>
                <w:sz w:val="18"/>
                <w:szCs w:val="18"/>
              </w:rPr>
            </w:pPr>
            <w:r>
              <w:rPr>
                <w:rFonts w:hint="eastAsia" w:ascii="宋体" w:hAnsi="宋体"/>
                <w:bCs/>
                <w:kern w:val="0"/>
                <w:sz w:val="18"/>
                <w:szCs w:val="18"/>
              </w:rPr>
              <w:t>/</w:t>
            </w:r>
          </w:p>
        </w:tc>
        <w:tc>
          <w:tcPr>
            <w:tcW w:w="1791" w:type="pct"/>
            <w:tcBorders>
              <w:top w:val="single" w:color="auto" w:sz="4" w:space="0"/>
              <w:left w:val="single" w:color="auto" w:sz="4" w:space="0"/>
              <w:bottom w:val="single" w:color="auto" w:sz="4" w:space="0"/>
              <w:right w:val="single" w:color="auto" w:sz="4" w:space="0"/>
            </w:tcBorders>
            <w:vAlign w:val="center"/>
          </w:tcPr>
          <w:p>
            <w:pPr>
              <w:pStyle w:val="50"/>
              <w:ind w:firstLine="0" w:firstLineChars="0"/>
              <w:jc w:val="center"/>
              <w:rPr>
                <w:rFonts w:hAnsi="宋体"/>
                <w:bCs/>
                <w:sz w:val="18"/>
                <w:szCs w:val="18"/>
              </w:rPr>
            </w:pPr>
            <w:r>
              <w:rPr>
                <w:rFonts w:hint="eastAsia" w:hAnsi="宋体"/>
                <w:bCs/>
                <w:sz w:val="18"/>
                <w:szCs w:val="18"/>
              </w:rPr>
              <w:t>符合本大纲</w:t>
            </w:r>
            <w:r>
              <w:rPr>
                <w:rFonts w:hAnsi="宋体"/>
                <w:bCs/>
                <w:sz w:val="18"/>
                <w:szCs w:val="18"/>
              </w:rPr>
              <w:t>5</w:t>
            </w:r>
            <w:r>
              <w:rPr>
                <w:rFonts w:hint="eastAsia" w:hAnsi="宋体"/>
                <w:bCs/>
                <w:sz w:val="18"/>
                <w:szCs w:val="18"/>
              </w:rPr>
              <w:t>.</w:t>
            </w:r>
            <w:r>
              <w:rPr>
                <w:rFonts w:hAnsi="宋体"/>
                <w:bCs/>
                <w:sz w:val="18"/>
                <w:szCs w:val="18"/>
              </w:rPr>
              <w:t>3</w:t>
            </w:r>
            <w:r>
              <w:rPr>
                <w:rFonts w:hint="eastAsia" w:hAnsi="宋体"/>
                <w:bCs/>
                <w:sz w:val="18"/>
                <w:szCs w:val="18"/>
              </w:rPr>
              <w:t>.</w:t>
            </w:r>
            <w:r>
              <w:rPr>
                <w:rFonts w:hAnsi="宋体"/>
                <w:bCs/>
                <w:sz w:val="18"/>
                <w:szCs w:val="18"/>
              </w:rPr>
              <w:t>2</w:t>
            </w:r>
            <w:r>
              <w:rPr>
                <w:rFonts w:hint="eastAsia" w:hAnsi="宋体"/>
                <w:bCs/>
                <w:sz w:val="18"/>
                <w:szCs w:val="18"/>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4" w:type="pct"/>
            <w:vMerge w:val="restart"/>
            <w:tcBorders>
              <w:left w:val="single" w:color="auto" w:sz="4" w:space="0"/>
              <w:right w:val="single" w:color="auto" w:sz="4" w:space="0"/>
            </w:tcBorders>
            <w:vAlign w:val="center"/>
          </w:tcPr>
          <w:p>
            <w:pPr>
              <w:ind w:left="-105" w:leftChars="-50" w:right="-105" w:rightChars="-50"/>
              <w:jc w:val="center"/>
              <w:rPr>
                <w:rFonts w:ascii="宋体" w:hAnsi="宋体"/>
                <w:sz w:val="18"/>
                <w:szCs w:val="18"/>
              </w:rPr>
            </w:pPr>
            <w:r>
              <w:rPr>
                <w:rFonts w:hint="eastAsia" w:ascii="宋体" w:hAnsi="宋体"/>
                <w:sz w:val="18"/>
                <w:szCs w:val="18"/>
              </w:rPr>
              <w:t>适用地区性能试验</w:t>
            </w:r>
          </w:p>
        </w:tc>
        <w:tc>
          <w:tcPr>
            <w:tcW w:w="379" w:type="pct"/>
            <w:tcBorders>
              <w:top w:val="single" w:color="auto" w:sz="4" w:space="0"/>
              <w:left w:val="single" w:color="auto" w:sz="4" w:space="0"/>
              <w:bottom w:val="single" w:color="auto" w:sz="4" w:space="0"/>
              <w:right w:val="single" w:color="auto" w:sz="4" w:space="0"/>
            </w:tcBorders>
            <w:vAlign w:val="center"/>
          </w:tcPr>
          <w:p>
            <w:pPr>
              <w:pStyle w:val="50"/>
              <w:ind w:firstLine="0" w:firstLineChars="0"/>
              <w:jc w:val="center"/>
              <w:rPr>
                <w:rFonts w:hAnsi="宋体"/>
                <w:bCs/>
                <w:sz w:val="18"/>
                <w:szCs w:val="18"/>
              </w:rPr>
            </w:pPr>
            <w:r>
              <w:rPr>
                <w:rFonts w:hint="eastAsia" w:hAnsi="宋体"/>
                <w:bCs/>
                <w:sz w:val="18"/>
                <w:szCs w:val="18"/>
              </w:rPr>
              <w:t>1</w:t>
            </w:r>
          </w:p>
        </w:tc>
        <w:tc>
          <w:tcPr>
            <w:tcW w:w="1219" w:type="pct"/>
            <w:tcBorders>
              <w:top w:val="single" w:color="auto" w:sz="4" w:space="0"/>
              <w:left w:val="single" w:color="auto" w:sz="4" w:space="0"/>
              <w:bottom w:val="single" w:color="auto" w:sz="4" w:space="0"/>
              <w:right w:val="single" w:color="auto" w:sz="4" w:space="0"/>
            </w:tcBorders>
            <w:vAlign w:val="center"/>
          </w:tcPr>
          <w:p>
            <w:pPr>
              <w:pStyle w:val="50"/>
              <w:ind w:firstLine="0" w:firstLineChars="0"/>
              <w:jc w:val="left"/>
              <w:rPr>
                <w:rFonts w:hAnsi="宋体"/>
                <w:bCs/>
                <w:sz w:val="18"/>
                <w:szCs w:val="18"/>
              </w:rPr>
            </w:pPr>
            <w:r>
              <w:rPr>
                <w:rFonts w:hint="eastAsia" w:hAnsi="宋体"/>
                <w:bCs/>
                <w:sz w:val="18"/>
                <w:szCs w:val="18"/>
              </w:rPr>
              <w:t>抬升高度</w:t>
            </w:r>
          </w:p>
        </w:tc>
        <w:tc>
          <w:tcPr>
            <w:tcW w:w="608" w:type="pct"/>
            <w:tcBorders>
              <w:top w:val="single" w:color="auto" w:sz="4" w:space="0"/>
              <w:left w:val="single" w:color="auto" w:sz="4" w:space="0"/>
              <w:bottom w:val="single" w:color="auto" w:sz="4" w:space="0"/>
              <w:right w:val="single" w:color="auto" w:sz="4" w:space="0"/>
            </w:tcBorders>
            <w:vAlign w:val="center"/>
          </w:tcPr>
          <w:p>
            <w:pPr>
              <w:pStyle w:val="50"/>
              <w:ind w:firstLine="0" w:firstLineChars="0"/>
              <w:jc w:val="center"/>
              <w:rPr>
                <w:rFonts w:hAnsi="宋体"/>
                <w:bCs/>
                <w:sz w:val="18"/>
                <w:szCs w:val="18"/>
              </w:rPr>
            </w:pPr>
            <w:r>
              <w:rPr>
                <w:rFonts w:hint="eastAsia" w:hAnsi="宋体"/>
                <w:bCs/>
                <w:sz w:val="18"/>
                <w:szCs w:val="18"/>
              </w:rPr>
              <w:t>m</w:t>
            </w:r>
          </w:p>
        </w:tc>
        <w:tc>
          <w:tcPr>
            <w:tcW w:w="1791" w:type="pct"/>
            <w:tcBorders>
              <w:top w:val="single" w:color="auto" w:sz="4" w:space="0"/>
              <w:left w:val="single" w:color="auto" w:sz="4" w:space="0"/>
              <w:bottom w:val="single" w:color="auto" w:sz="4" w:space="0"/>
              <w:right w:val="single" w:color="auto" w:sz="4" w:space="0"/>
            </w:tcBorders>
            <w:vAlign w:val="center"/>
          </w:tcPr>
          <w:p>
            <w:pPr>
              <w:pStyle w:val="50"/>
              <w:ind w:firstLine="0" w:firstLineChars="0"/>
              <w:jc w:val="center"/>
              <w:rPr>
                <w:rFonts w:hAnsi="宋体"/>
                <w:bCs/>
                <w:sz w:val="18"/>
                <w:szCs w:val="18"/>
              </w:rPr>
            </w:pPr>
            <w:r>
              <w:rPr>
                <w:rFonts w:hint="eastAsia" w:hAnsi="宋体"/>
                <w:bCs/>
                <w:sz w:val="18"/>
                <w:szCs w:val="18"/>
              </w:rPr>
              <w:t>符合企业明示值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4" w:type="pct"/>
            <w:vMerge w:val="continue"/>
            <w:tcBorders>
              <w:left w:val="single" w:color="auto" w:sz="4" w:space="0"/>
              <w:right w:val="single" w:color="auto" w:sz="4" w:space="0"/>
            </w:tcBorders>
            <w:vAlign w:val="center"/>
          </w:tcPr>
          <w:p>
            <w:pPr>
              <w:ind w:left="-105" w:leftChars="-50" w:right="-105" w:rightChars="-50"/>
              <w:jc w:val="center"/>
              <w:rPr>
                <w:rFonts w:ascii="宋体" w:hAnsi="宋体"/>
                <w:sz w:val="18"/>
                <w:szCs w:val="18"/>
              </w:rPr>
            </w:pPr>
          </w:p>
        </w:tc>
        <w:tc>
          <w:tcPr>
            <w:tcW w:w="379" w:type="pct"/>
            <w:tcBorders>
              <w:top w:val="single" w:color="auto" w:sz="4" w:space="0"/>
              <w:left w:val="single" w:color="auto" w:sz="4" w:space="0"/>
              <w:bottom w:val="single" w:color="auto" w:sz="4" w:space="0"/>
              <w:right w:val="single" w:color="auto" w:sz="4" w:space="0"/>
            </w:tcBorders>
            <w:vAlign w:val="center"/>
          </w:tcPr>
          <w:p>
            <w:pPr>
              <w:pStyle w:val="50"/>
              <w:ind w:firstLine="0" w:firstLineChars="0"/>
              <w:jc w:val="center"/>
              <w:rPr>
                <w:rFonts w:hAnsi="宋体"/>
                <w:bCs/>
                <w:sz w:val="18"/>
                <w:szCs w:val="18"/>
              </w:rPr>
            </w:pPr>
            <w:r>
              <w:rPr>
                <w:rFonts w:hint="eastAsia" w:hAnsi="宋体"/>
                <w:bCs/>
                <w:sz w:val="18"/>
                <w:szCs w:val="18"/>
              </w:rPr>
              <w:t>2</w:t>
            </w:r>
          </w:p>
        </w:tc>
        <w:tc>
          <w:tcPr>
            <w:tcW w:w="1219" w:type="pct"/>
            <w:tcBorders>
              <w:top w:val="single" w:color="auto" w:sz="4" w:space="0"/>
              <w:left w:val="single" w:color="auto" w:sz="4" w:space="0"/>
              <w:bottom w:val="single" w:color="auto" w:sz="4" w:space="0"/>
              <w:right w:val="single" w:color="auto" w:sz="4" w:space="0"/>
            </w:tcBorders>
            <w:vAlign w:val="center"/>
          </w:tcPr>
          <w:p>
            <w:pPr>
              <w:pStyle w:val="50"/>
              <w:ind w:firstLine="0" w:firstLineChars="0"/>
              <w:jc w:val="left"/>
              <w:rPr>
                <w:rFonts w:hAnsi="宋体"/>
                <w:bCs/>
                <w:sz w:val="18"/>
                <w:szCs w:val="18"/>
              </w:rPr>
            </w:pPr>
            <w:r>
              <w:rPr>
                <w:rFonts w:hint="eastAsia" w:hAnsi="宋体"/>
                <w:bCs/>
                <w:sz w:val="18"/>
                <w:szCs w:val="18"/>
              </w:rPr>
              <w:t>采收率</w:t>
            </w:r>
          </w:p>
        </w:tc>
        <w:tc>
          <w:tcPr>
            <w:tcW w:w="608" w:type="pct"/>
            <w:tcBorders>
              <w:top w:val="single" w:color="auto" w:sz="4" w:space="0"/>
              <w:left w:val="single" w:color="auto" w:sz="4" w:space="0"/>
              <w:bottom w:val="single" w:color="auto" w:sz="4" w:space="0"/>
              <w:right w:val="single" w:color="auto" w:sz="4" w:space="0"/>
            </w:tcBorders>
            <w:vAlign w:val="center"/>
          </w:tcPr>
          <w:p>
            <w:pPr>
              <w:pStyle w:val="50"/>
              <w:ind w:firstLine="0" w:firstLineChars="0"/>
              <w:jc w:val="center"/>
              <w:rPr>
                <w:rFonts w:hAnsi="宋体"/>
                <w:bCs/>
                <w:sz w:val="18"/>
                <w:szCs w:val="18"/>
              </w:rPr>
            </w:pPr>
            <w:r>
              <w:rPr>
                <w:rFonts w:hint="eastAsia" w:hAnsi="宋体"/>
                <w:bCs/>
                <w:sz w:val="18"/>
                <w:szCs w:val="18"/>
              </w:rPr>
              <w:t>/</w:t>
            </w:r>
          </w:p>
        </w:tc>
        <w:tc>
          <w:tcPr>
            <w:tcW w:w="1791" w:type="pct"/>
            <w:tcBorders>
              <w:top w:val="single" w:color="auto" w:sz="4" w:space="0"/>
              <w:left w:val="single" w:color="auto" w:sz="4" w:space="0"/>
              <w:bottom w:val="single" w:color="auto" w:sz="4" w:space="0"/>
              <w:right w:val="single" w:color="auto" w:sz="4" w:space="0"/>
            </w:tcBorders>
            <w:vAlign w:val="center"/>
          </w:tcPr>
          <w:p>
            <w:pPr>
              <w:pStyle w:val="50"/>
              <w:ind w:firstLine="0" w:firstLineChars="0"/>
              <w:jc w:val="center"/>
              <w:rPr>
                <w:rFonts w:hAnsi="宋体"/>
                <w:bCs/>
                <w:sz w:val="18"/>
                <w:szCs w:val="18"/>
              </w:rPr>
            </w:pPr>
            <w:r>
              <w:rPr>
                <w:rFonts w:hint="eastAsia" w:hAnsi="宋体"/>
                <w:bCs/>
                <w:sz w:val="18"/>
                <w:szCs w:val="18"/>
              </w:rPr>
              <w:t>≥9</w:t>
            </w:r>
            <w:r>
              <w:rPr>
                <w:rFonts w:hAnsi="宋体"/>
                <w:bCs/>
                <w:sz w:val="18"/>
                <w:szCs w:val="18"/>
              </w:rPr>
              <w:t>0</w:t>
            </w:r>
            <w:r>
              <w:rPr>
                <w:rFonts w:hint="eastAsia" w:hAnsi="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4" w:type="pct"/>
            <w:vMerge w:val="continue"/>
            <w:tcBorders>
              <w:left w:val="single" w:color="auto" w:sz="4" w:space="0"/>
              <w:bottom w:val="single" w:color="auto" w:sz="4" w:space="0"/>
              <w:right w:val="single" w:color="auto" w:sz="4" w:space="0"/>
            </w:tcBorders>
            <w:vAlign w:val="center"/>
          </w:tcPr>
          <w:p>
            <w:pPr>
              <w:ind w:left="-105" w:leftChars="-50" w:right="-105" w:rightChars="-50"/>
              <w:jc w:val="center"/>
              <w:rPr>
                <w:rFonts w:ascii="宋体" w:hAnsi="宋体"/>
                <w:sz w:val="18"/>
                <w:szCs w:val="18"/>
              </w:rPr>
            </w:pPr>
          </w:p>
        </w:tc>
        <w:tc>
          <w:tcPr>
            <w:tcW w:w="379" w:type="pct"/>
            <w:tcBorders>
              <w:top w:val="single" w:color="auto" w:sz="4" w:space="0"/>
              <w:left w:val="single" w:color="auto" w:sz="4" w:space="0"/>
              <w:bottom w:val="single" w:color="auto" w:sz="4" w:space="0"/>
              <w:right w:val="single" w:color="auto" w:sz="4" w:space="0"/>
            </w:tcBorders>
            <w:vAlign w:val="center"/>
          </w:tcPr>
          <w:p>
            <w:pPr>
              <w:pStyle w:val="50"/>
              <w:ind w:firstLine="0" w:firstLineChars="0"/>
              <w:jc w:val="center"/>
              <w:rPr>
                <w:rFonts w:hAnsi="宋体"/>
                <w:bCs/>
                <w:sz w:val="18"/>
                <w:szCs w:val="18"/>
              </w:rPr>
            </w:pPr>
            <w:r>
              <w:rPr>
                <w:rFonts w:hint="eastAsia" w:hAnsi="宋体"/>
                <w:bCs/>
                <w:sz w:val="18"/>
                <w:szCs w:val="18"/>
              </w:rPr>
              <w:t>3</w:t>
            </w:r>
          </w:p>
        </w:tc>
        <w:tc>
          <w:tcPr>
            <w:tcW w:w="1219" w:type="pct"/>
            <w:tcBorders>
              <w:top w:val="single" w:color="auto" w:sz="4" w:space="0"/>
              <w:left w:val="single" w:color="auto" w:sz="4" w:space="0"/>
              <w:bottom w:val="single" w:color="auto" w:sz="4" w:space="0"/>
              <w:right w:val="single" w:color="auto" w:sz="4" w:space="0"/>
            </w:tcBorders>
            <w:vAlign w:val="center"/>
          </w:tcPr>
          <w:p>
            <w:pPr>
              <w:pStyle w:val="50"/>
              <w:ind w:firstLine="0" w:firstLineChars="0"/>
              <w:jc w:val="left"/>
              <w:rPr>
                <w:rFonts w:hAnsi="宋体"/>
                <w:bCs/>
                <w:sz w:val="18"/>
                <w:szCs w:val="18"/>
              </w:rPr>
            </w:pPr>
            <w:r>
              <w:rPr>
                <w:rFonts w:hint="eastAsia" w:hAnsi="宋体"/>
                <w:bCs/>
                <w:sz w:val="18"/>
                <w:szCs w:val="18"/>
              </w:rPr>
              <w:t>生产能力</w:t>
            </w:r>
          </w:p>
        </w:tc>
        <w:tc>
          <w:tcPr>
            <w:tcW w:w="608" w:type="pct"/>
            <w:tcBorders>
              <w:top w:val="single" w:color="auto" w:sz="4" w:space="0"/>
              <w:left w:val="single" w:color="auto" w:sz="4" w:space="0"/>
              <w:bottom w:val="single" w:color="auto" w:sz="4" w:space="0"/>
              <w:right w:val="single" w:color="auto" w:sz="4" w:space="0"/>
            </w:tcBorders>
            <w:vAlign w:val="center"/>
          </w:tcPr>
          <w:p>
            <w:pPr>
              <w:pStyle w:val="50"/>
              <w:ind w:firstLine="0" w:firstLineChars="0"/>
              <w:jc w:val="center"/>
              <w:rPr>
                <w:rFonts w:hAnsi="宋体"/>
                <w:bCs/>
                <w:sz w:val="18"/>
                <w:szCs w:val="18"/>
              </w:rPr>
            </w:pPr>
            <w:r>
              <w:rPr>
                <w:rFonts w:hint="eastAsia" w:hAnsi="宋体"/>
                <w:bCs/>
                <w:sz w:val="18"/>
                <w:szCs w:val="18"/>
              </w:rPr>
              <w:t>t/h</w:t>
            </w:r>
          </w:p>
        </w:tc>
        <w:tc>
          <w:tcPr>
            <w:tcW w:w="1791" w:type="pct"/>
            <w:tcBorders>
              <w:top w:val="single" w:color="auto" w:sz="4" w:space="0"/>
              <w:left w:val="single" w:color="auto" w:sz="4" w:space="0"/>
              <w:bottom w:val="single" w:color="auto" w:sz="4" w:space="0"/>
              <w:right w:val="single" w:color="auto" w:sz="4" w:space="0"/>
            </w:tcBorders>
            <w:vAlign w:val="center"/>
          </w:tcPr>
          <w:p>
            <w:pPr>
              <w:pStyle w:val="50"/>
              <w:ind w:firstLine="0" w:firstLineChars="0"/>
              <w:jc w:val="center"/>
              <w:rPr>
                <w:rFonts w:hAnsi="宋体"/>
                <w:bCs/>
                <w:sz w:val="18"/>
                <w:szCs w:val="18"/>
              </w:rPr>
            </w:pPr>
            <w:r>
              <w:rPr>
                <w:rFonts w:hint="eastAsia" w:hAnsi="宋体"/>
                <w:bCs/>
                <w:sz w:val="18"/>
                <w:szCs w:val="18"/>
              </w:rPr>
              <w:t>符合企业明示值</w:t>
            </w:r>
          </w:p>
        </w:tc>
      </w:tr>
    </w:tbl>
    <w:p>
      <w:pPr>
        <w:pStyle w:val="51"/>
        <w:numPr>
          <w:ilvl w:val="0"/>
          <w:numId w:val="0"/>
        </w:numPr>
        <w:rPr>
          <w:rFonts w:ascii="宋体" w:hAnsi="宋体" w:eastAsia="宋体"/>
        </w:rPr>
      </w:pPr>
      <w:r>
        <w:rPr>
          <w:rFonts w:ascii="黑体" w:hAnsi="黑体"/>
          <w:kern w:val="2"/>
          <w:szCs w:val="24"/>
        </w:rPr>
        <w:t>5</w:t>
      </w:r>
      <w:r>
        <w:rPr>
          <w:rFonts w:hint="eastAsia" w:ascii="黑体" w:hAnsi="黑体"/>
          <w:kern w:val="2"/>
          <w:szCs w:val="24"/>
        </w:rPr>
        <w:t xml:space="preserve">.5.2  </w:t>
      </w:r>
      <w:r>
        <w:rPr>
          <w:rFonts w:hint="eastAsia" w:ascii="宋体" w:hAnsi="宋体" w:eastAsia="宋体" w:cs="宋体"/>
          <w:kern w:val="2"/>
          <w:szCs w:val="24"/>
        </w:rPr>
        <w:t>一级</w:t>
      </w:r>
      <w:r>
        <w:rPr>
          <w:rFonts w:hint="eastAsia" w:ascii="宋体" w:hAnsi="宋体" w:eastAsia="宋体"/>
        </w:rPr>
        <w:t>指标均符合大纲要求时，专项鉴定结论为通过；否则，专项鉴定结论为不通过。</w:t>
      </w:r>
      <w:bookmarkStart w:id="83" w:name="_Toc514920206"/>
      <w:bookmarkEnd w:id="83"/>
      <w:bookmarkStart w:id="84" w:name="_Toc467523145"/>
      <w:bookmarkStart w:id="85" w:name="_Toc468654856"/>
      <w:bookmarkStart w:id="86" w:name="_Toc467524317"/>
      <w:bookmarkStart w:id="87" w:name="_Toc467523194"/>
      <w:bookmarkStart w:id="88" w:name="_Toc467523178"/>
    </w:p>
    <w:p>
      <w:pPr>
        <w:pStyle w:val="50"/>
        <w:ind w:firstLine="420"/>
      </w:pPr>
    </w:p>
    <w:p>
      <w:pPr>
        <w:pStyle w:val="50"/>
        <w:ind w:firstLine="420"/>
      </w:pPr>
    </w:p>
    <w:p>
      <w:pPr>
        <w:pStyle w:val="69"/>
        <w:keepNext/>
        <w:shd w:val="clear" w:color="auto" w:fill="FFFFFF"/>
        <w:spacing w:before="0" w:after="0"/>
        <w:ind w:left="0"/>
      </w:pPr>
      <w:bookmarkStart w:id="89" w:name="_Toc79049502"/>
      <w:bookmarkStart w:id="90" w:name="_Toc108784936"/>
      <w:r>
        <w:rPr>
          <w:rFonts w:hint="eastAsia"/>
        </w:rPr>
        <w:t>附 录 A</w:t>
      </w:r>
      <w:r>
        <w:br w:type="textWrapping"/>
      </w:r>
      <w:bookmarkStart w:id="91" w:name="_Toc13153197"/>
      <w:bookmarkStart w:id="92" w:name="_Toc13215948"/>
      <w:r>
        <w:rPr>
          <w:rFonts w:hint="eastAsia"/>
        </w:rPr>
        <w:t>（规范性附录）</w:t>
      </w:r>
      <w:r>
        <w:br w:type="textWrapping"/>
      </w:r>
      <w:r>
        <w:rPr>
          <w:rFonts w:hint="eastAsia"/>
        </w:rPr>
        <w:t>产品规格表</w:t>
      </w:r>
      <w:bookmarkEnd w:id="89"/>
      <w:bookmarkEnd w:id="90"/>
      <w:bookmarkEnd w:id="91"/>
      <w:bookmarkEnd w:id="92"/>
    </w:p>
    <w:tbl>
      <w:tblPr>
        <w:tblStyle w:val="3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3307"/>
        <w:gridCol w:w="941"/>
        <w:gridCol w:w="4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44" w:type="pct"/>
            <w:shd w:val="clear" w:color="auto" w:fill="auto"/>
          </w:tcPr>
          <w:p>
            <w:pPr>
              <w:tabs>
                <w:tab w:val="center" w:pos="4201"/>
                <w:tab w:val="right" w:leader="dot" w:pos="9298"/>
              </w:tabs>
              <w:autoSpaceDE w:val="0"/>
              <w:autoSpaceDN w:val="0"/>
              <w:jc w:val="center"/>
              <w:rPr>
                <w:rFonts w:ascii="宋体" w:hAnsi="宋体"/>
                <w:color w:val="000000"/>
                <w:kern w:val="0"/>
                <w:sz w:val="18"/>
                <w:szCs w:val="18"/>
              </w:rPr>
            </w:pPr>
            <w:bookmarkStart w:id="93" w:name="_Toc439321796"/>
            <w:bookmarkEnd w:id="93"/>
            <w:bookmarkStart w:id="94" w:name="_Toc439321901"/>
            <w:bookmarkEnd w:id="94"/>
            <w:bookmarkStart w:id="95" w:name="_Toc439322060"/>
            <w:bookmarkEnd w:id="95"/>
            <w:bookmarkStart w:id="96" w:name="_Toc439321859"/>
            <w:bookmarkEnd w:id="96"/>
            <w:bookmarkStart w:id="97" w:name="_Toc439321729"/>
            <w:bookmarkEnd w:id="97"/>
            <w:r>
              <w:rPr>
                <w:rFonts w:hint="eastAsia" w:ascii="宋体" w:hAnsi="宋体"/>
                <w:color w:val="000000"/>
                <w:kern w:val="0"/>
                <w:sz w:val="18"/>
                <w:szCs w:val="18"/>
              </w:rPr>
              <w:t>序号</w:t>
            </w:r>
          </w:p>
        </w:tc>
        <w:tc>
          <w:tcPr>
            <w:tcW w:w="1729" w:type="pct"/>
            <w:shd w:val="clear" w:color="auto" w:fill="auto"/>
          </w:tcPr>
          <w:p>
            <w:pPr>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bCs/>
                <w:color w:val="000000"/>
                <w:kern w:val="0"/>
                <w:sz w:val="18"/>
                <w:szCs w:val="18"/>
              </w:rPr>
              <w:t>项目</w:t>
            </w:r>
          </w:p>
        </w:tc>
        <w:tc>
          <w:tcPr>
            <w:tcW w:w="492" w:type="pct"/>
            <w:shd w:val="clear" w:color="auto" w:fill="auto"/>
          </w:tcPr>
          <w:p>
            <w:pPr>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bCs/>
                <w:color w:val="000000"/>
                <w:kern w:val="0"/>
                <w:sz w:val="18"/>
                <w:szCs w:val="18"/>
              </w:rPr>
              <w:t>单位</w:t>
            </w:r>
          </w:p>
        </w:tc>
        <w:tc>
          <w:tcPr>
            <w:tcW w:w="2335" w:type="pct"/>
            <w:shd w:val="clear" w:color="auto" w:fill="auto"/>
          </w:tcPr>
          <w:p>
            <w:pPr>
              <w:tabs>
                <w:tab w:val="center" w:pos="4201"/>
                <w:tab w:val="right" w:leader="dot" w:pos="9298"/>
              </w:tabs>
              <w:autoSpaceDE w:val="0"/>
              <w:autoSpaceDN w:val="0"/>
              <w:jc w:val="center"/>
              <w:rPr>
                <w:rFonts w:ascii="宋体" w:hAnsi="宋体"/>
                <w:color w:val="000000"/>
                <w:kern w:val="0"/>
                <w:sz w:val="18"/>
                <w:szCs w:val="18"/>
              </w:rPr>
            </w:pPr>
            <w:r>
              <w:rPr>
                <w:rFonts w:hint="eastAsia" w:ascii="宋体" w:hAnsi="宋体"/>
                <w:bCs/>
                <w:color w:val="000000"/>
                <w:kern w:val="0"/>
                <w:sz w:val="18"/>
                <w:szCs w:val="18"/>
              </w:rPr>
              <w:t>设计值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44" w:type="pct"/>
            <w:shd w:val="clear" w:color="auto" w:fill="auto"/>
          </w:tcPr>
          <w:p>
            <w:pPr>
              <w:pStyle w:val="50"/>
              <w:ind w:left="-346" w:leftChars="-165" w:firstLine="360"/>
              <w:jc w:val="center"/>
              <w:rPr>
                <w:kern w:val="2"/>
                <w:sz w:val="18"/>
                <w:szCs w:val="18"/>
              </w:rPr>
            </w:pPr>
            <w:r>
              <w:rPr>
                <w:rFonts w:hint="eastAsia"/>
                <w:kern w:val="2"/>
                <w:sz w:val="18"/>
                <w:szCs w:val="18"/>
              </w:rPr>
              <w:t>1</w:t>
            </w:r>
          </w:p>
        </w:tc>
        <w:tc>
          <w:tcPr>
            <w:tcW w:w="1729" w:type="pct"/>
            <w:tcBorders>
              <w:top w:val="single" w:color="auto" w:sz="4" w:space="0"/>
              <w:left w:val="single" w:color="auto" w:sz="4" w:space="0"/>
              <w:bottom w:val="single" w:color="auto" w:sz="4" w:space="0"/>
              <w:right w:val="single" w:color="auto" w:sz="4" w:space="0"/>
            </w:tcBorders>
            <w:vAlign w:val="center"/>
          </w:tcPr>
          <w:p>
            <w:pPr>
              <w:pStyle w:val="50"/>
              <w:ind w:left="-346" w:leftChars="-165" w:firstLine="360"/>
              <w:jc w:val="left"/>
              <w:rPr>
                <w:kern w:val="2"/>
                <w:sz w:val="18"/>
                <w:szCs w:val="18"/>
              </w:rPr>
            </w:pPr>
            <w:r>
              <w:rPr>
                <w:rFonts w:hint="eastAsia"/>
                <w:sz w:val="18"/>
                <w:szCs w:val="18"/>
              </w:rPr>
              <w:t>型号名称</w:t>
            </w:r>
          </w:p>
        </w:tc>
        <w:tc>
          <w:tcPr>
            <w:tcW w:w="492" w:type="pct"/>
            <w:shd w:val="clear" w:color="auto" w:fill="auto"/>
          </w:tcPr>
          <w:p>
            <w:pPr>
              <w:pStyle w:val="50"/>
              <w:ind w:left="-346" w:leftChars="-165" w:firstLine="360"/>
              <w:jc w:val="center"/>
              <w:rPr>
                <w:kern w:val="2"/>
                <w:sz w:val="18"/>
                <w:szCs w:val="18"/>
              </w:rPr>
            </w:pPr>
            <w:r>
              <w:rPr>
                <w:rFonts w:hint="eastAsia"/>
                <w:kern w:val="2"/>
                <w:sz w:val="18"/>
                <w:szCs w:val="18"/>
              </w:rPr>
              <w:t>/</w:t>
            </w:r>
          </w:p>
        </w:tc>
        <w:tc>
          <w:tcPr>
            <w:tcW w:w="2335" w:type="pct"/>
            <w:shd w:val="clear" w:color="auto" w:fill="auto"/>
          </w:tcPr>
          <w:p>
            <w:pPr>
              <w:pStyle w:val="50"/>
              <w:ind w:left="-346" w:leftChars="-165" w:firstLine="360"/>
              <w:jc w:val="center"/>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44" w:type="pct"/>
            <w:shd w:val="clear" w:color="auto" w:fill="auto"/>
          </w:tcPr>
          <w:p>
            <w:pPr>
              <w:pStyle w:val="50"/>
              <w:ind w:left="-346" w:leftChars="-165" w:firstLine="360"/>
              <w:jc w:val="center"/>
              <w:rPr>
                <w:kern w:val="2"/>
                <w:sz w:val="18"/>
                <w:szCs w:val="18"/>
              </w:rPr>
            </w:pPr>
            <w:r>
              <w:rPr>
                <w:rFonts w:hint="eastAsia"/>
                <w:kern w:val="2"/>
                <w:sz w:val="18"/>
                <w:szCs w:val="18"/>
              </w:rPr>
              <w:t>2</w:t>
            </w:r>
          </w:p>
        </w:tc>
        <w:tc>
          <w:tcPr>
            <w:tcW w:w="1729" w:type="pct"/>
            <w:tcBorders>
              <w:top w:val="single" w:color="auto" w:sz="4" w:space="0"/>
              <w:left w:val="single" w:color="auto" w:sz="4" w:space="0"/>
              <w:bottom w:val="single" w:color="auto" w:sz="4" w:space="0"/>
              <w:right w:val="single" w:color="auto" w:sz="4" w:space="0"/>
            </w:tcBorders>
            <w:vAlign w:val="center"/>
          </w:tcPr>
          <w:p>
            <w:pPr>
              <w:pStyle w:val="50"/>
              <w:ind w:left="-346" w:leftChars="-165" w:firstLine="360"/>
              <w:jc w:val="left"/>
              <w:rPr>
                <w:sz w:val="18"/>
                <w:szCs w:val="18"/>
              </w:rPr>
            </w:pPr>
            <w:r>
              <w:rPr>
                <w:rFonts w:hint="eastAsia" w:hAnsi="宋体"/>
                <w:bCs/>
                <w:sz w:val="18"/>
                <w:szCs w:val="18"/>
              </w:rPr>
              <w:t>结构型式</w:t>
            </w:r>
          </w:p>
        </w:tc>
        <w:tc>
          <w:tcPr>
            <w:tcW w:w="492" w:type="pct"/>
            <w:shd w:val="clear" w:color="auto" w:fill="auto"/>
          </w:tcPr>
          <w:p>
            <w:pPr>
              <w:pStyle w:val="50"/>
              <w:ind w:left="-346" w:leftChars="-165" w:firstLine="360"/>
              <w:jc w:val="center"/>
              <w:rPr>
                <w:kern w:val="2"/>
                <w:sz w:val="18"/>
                <w:szCs w:val="18"/>
              </w:rPr>
            </w:pPr>
            <w:r>
              <w:rPr>
                <w:rFonts w:hint="eastAsia"/>
                <w:kern w:val="2"/>
                <w:sz w:val="18"/>
                <w:szCs w:val="18"/>
              </w:rPr>
              <w:t>/</w:t>
            </w:r>
          </w:p>
        </w:tc>
        <w:tc>
          <w:tcPr>
            <w:tcW w:w="2335" w:type="pct"/>
            <w:shd w:val="clear" w:color="auto" w:fill="auto"/>
          </w:tcPr>
          <w:p>
            <w:pPr>
              <w:pStyle w:val="50"/>
              <w:ind w:left="-346" w:leftChars="-165" w:firstLine="360"/>
              <w:jc w:val="center"/>
              <w:rPr>
                <w:kern w:val="2"/>
                <w:sz w:val="18"/>
                <w:szCs w:val="18"/>
              </w:rPr>
            </w:pPr>
            <w:r>
              <w:rPr>
                <w:rFonts w:hint="eastAsia"/>
                <w:kern w:val="2"/>
                <w:sz w:val="18"/>
                <w:szCs w:val="18"/>
              </w:rPr>
              <w:t>（单侧牵引、双侧牵引、中部牵引、其他）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44" w:type="pct"/>
            <w:shd w:val="clear" w:color="auto" w:fill="auto"/>
          </w:tcPr>
          <w:p>
            <w:pPr>
              <w:pStyle w:val="50"/>
              <w:ind w:left="-346" w:leftChars="-165" w:firstLine="360"/>
              <w:jc w:val="center"/>
              <w:rPr>
                <w:kern w:val="2"/>
                <w:sz w:val="18"/>
                <w:szCs w:val="18"/>
              </w:rPr>
            </w:pPr>
            <w:r>
              <w:rPr>
                <w:rFonts w:hint="eastAsia"/>
                <w:kern w:val="2"/>
                <w:sz w:val="18"/>
                <w:szCs w:val="18"/>
              </w:rPr>
              <w:t>3</w:t>
            </w:r>
          </w:p>
        </w:tc>
        <w:tc>
          <w:tcPr>
            <w:tcW w:w="1729" w:type="pct"/>
            <w:tcBorders>
              <w:top w:val="single" w:color="auto" w:sz="4" w:space="0"/>
              <w:left w:val="single" w:color="auto" w:sz="4" w:space="0"/>
              <w:bottom w:val="single" w:color="auto" w:sz="4" w:space="0"/>
              <w:right w:val="single" w:color="auto" w:sz="4" w:space="0"/>
            </w:tcBorders>
          </w:tcPr>
          <w:p>
            <w:pPr>
              <w:pStyle w:val="50"/>
              <w:ind w:left="-346" w:leftChars="-165" w:firstLine="360"/>
              <w:jc w:val="left"/>
              <w:rPr>
                <w:kern w:val="2"/>
                <w:sz w:val="18"/>
                <w:szCs w:val="18"/>
              </w:rPr>
            </w:pPr>
            <w:r>
              <w:rPr>
                <w:rFonts w:hint="eastAsia"/>
                <w:sz w:val="18"/>
                <w:szCs w:val="18"/>
              </w:rPr>
              <w:t>配套</w:t>
            </w:r>
            <w:r>
              <w:rPr>
                <w:rFonts w:hint="eastAsia" w:asciiTheme="minorEastAsia" w:hAnsiTheme="minorEastAsia" w:eastAsiaTheme="minorEastAsia"/>
                <w:sz w:val="18"/>
                <w:szCs w:val="18"/>
              </w:rPr>
              <w:t>发动机额定功率（或标定功率）</w:t>
            </w:r>
          </w:p>
        </w:tc>
        <w:tc>
          <w:tcPr>
            <w:tcW w:w="492" w:type="pct"/>
            <w:shd w:val="clear" w:color="auto" w:fill="auto"/>
          </w:tcPr>
          <w:p>
            <w:pPr>
              <w:pStyle w:val="50"/>
              <w:ind w:left="-346" w:leftChars="-165" w:firstLine="360"/>
              <w:jc w:val="center"/>
              <w:rPr>
                <w:kern w:val="2"/>
                <w:sz w:val="18"/>
                <w:szCs w:val="18"/>
              </w:rPr>
            </w:pPr>
            <w:r>
              <w:rPr>
                <w:rFonts w:hint="eastAsia"/>
                <w:kern w:val="2"/>
                <w:sz w:val="18"/>
                <w:szCs w:val="18"/>
              </w:rPr>
              <w:t>kW</w:t>
            </w:r>
          </w:p>
        </w:tc>
        <w:tc>
          <w:tcPr>
            <w:tcW w:w="2335" w:type="pct"/>
            <w:shd w:val="clear" w:color="auto" w:fill="auto"/>
          </w:tcPr>
          <w:p>
            <w:pPr>
              <w:pStyle w:val="50"/>
              <w:ind w:left="-346" w:leftChars="-165" w:firstLine="360"/>
              <w:jc w:val="center"/>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44" w:type="pct"/>
            <w:shd w:val="clear" w:color="auto" w:fill="auto"/>
          </w:tcPr>
          <w:p>
            <w:pPr>
              <w:pStyle w:val="50"/>
              <w:ind w:left="-346" w:leftChars="-165" w:firstLine="360"/>
              <w:jc w:val="center"/>
              <w:rPr>
                <w:kern w:val="2"/>
                <w:sz w:val="18"/>
                <w:szCs w:val="18"/>
              </w:rPr>
            </w:pPr>
            <w:r>
              <w:rPr>
                <w:rFonts w:hint="eastAsia"/>
                <w:kern w:val="2"/>
                <w:sz w:val="18"/>
                <w:szCs w:val="18"/>
              </w:rPr>
              <w:t>4</w:t>
            </w:r>
          </w:p>
        </w:tc>
        <w:tc>
          <w:tcPr>
            <w:tcW w:w="1729" w:type="pct"/>
            <w:tcBorders>
              <w:top w:val="single" w:color="auto" w:sz="4" w:space="0"/>
              <w:left w:val="single" w:color="auto" w:sz="4" w:space="0"/>
              <w:bottom w:val="single" w:color="auto" w:sz="4" w:space="0"/>
              <w:right w:val="single" w:color="auto" w:sz="4" w:space="0"/>
            </w:tcBorders>
            <w:vAlign w:val="center"/>
          </w:tcPr>
          <w:p>
            <w:pPr>
              <w:tabs>
                <w:tab w:val="center" w:pos="4201"/>
                <w:tab w:val="right" w:leader="dot" w:pos="9298"/>
              </w:tabs>
              <w:autoSpaceDE w:val="0"/>
              <w:autoSpaceDN w:val="0"/>
              <w:jc w:val="left"/>
              <w:rPr>
                <w:rFonts w:ascii="宋体" w:hAnsi="宋体"/>
                <w:kern w:val="0"/>
                <w:sz w:val="18"/>
                <w:szCs w:val="18"/>
              </w:rPr>
            </w:pPr>
            <w:r>
              <w:rPr>
                <w:rFonts w:hint="eastAsia" w:ascii="宋体" w:hAnsi="宋体"/>
                <w:kern w:val="0"/>
                <w:sz w:val="18"/>
                <w:szCs w:val="18"/>
              </w:rPr>
              <w:t>工作状态外形尺寸（长×宽×高）</w:t>
            </w:r>
          </w:p>
        </w:tc>
        <w:tc>
          <w:tcPr>
            <w:tcW w:w="492" w:type="pct"/>
            <w:shd w:val="clear" w:color="auto" w:fill="auto"/>
          </w:tcPr>
          <w:p>
            <w:pPr>
              <w:pStyle w:val="50"/>
              <w:ind w:left="-346" w:leftChars="-165" w:firstLine="360"/>
              <w:jc w:val="center"/>
              <w:rPr>
                <w:kern w:val="2"/>
                <w:sz w:val="18"/>
                <w:szCs w:val="18"/>
              </w:rPr>
            </w:pPr>
            <w:r>
              <w:rPr>
                <w:kern w:val="2"/>
                <w:sz w:val="18"/>
                <w:szCs w:val="18"/>
              </w:rPr>
              <w:t>mm</w:t>
            </w:r>
          </w:p>
        </w:tc>
        <w:tc>
          <w:tcPr>
            <w:tcW w:w="2335" w:type="pct"/>
            <w:shd w:val="clear" w:color="auto" w:fill="auto"/>
          </w:tcPr>
          <w:p>
            <w:pPr>
              <w:pStyle w:val="50"/>
              <w:ind w:left="-346" w:leftChars="-165" w:firstLine="360"/>
              <w:jc w:val="center"/>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44" w:type="pct"/>
            <w:shd w:val="clear" w:color="auto" w:fill="auto"/>
          </w:tcPr>
          <w:p>
            <w:pPr>
              <w:pStyle w:val="50"/>
              <w:ind w:left="-346" w:leftChars="-165" w:firstLine="360"/>
              <w:jc w:val="center"/>
              <w:rPr>
                <w:kern w:val="2"/>
                <w:sz w:val="18"/>
                <w:szCs w:val="18"/>
              </w:rPr>
            </w:pPr>
            <w:r>
              <w:rPr>
                <w:rFonts w:hint="eastAsia"/>
                <w:kern w:val="2"/>
                <w:sz w:val="18"/>
                <w:szCs w:val="18"/>
              </w:rPr>
              <w:t>5</w:t>
            </w:r>
          </w:p>
        </w:tc>
        <w:tc>
          <w:tcPr>
            <w:tcW w:w="1729" w:type="pct"/>
            <w:tcBorders>
              <w:top w:val="single" w:color="auto" w:sz="4" w:space="0"/>
              <w:left w:val="single" w:color="auto" w:sz="4" w:space="0"/>
              <w:bottom w:val="single" w:color="auto" w:sz="4" w:space="0"/>
              <w:right w:val="single" w:color="auto" w:sz="4" w:space="0"/>
            </w:tcBorders>
            <w:vAlign w:val="center"/>
          </w:tcPr>
          <w:p>
            <w:pPr>
              <w:pStyle w:val="50"/>
              <w:ind w:left="-346" w:leftChars="-165" w:firstLine="36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牵引导轮尺寸（直径）</w:t>
            </w:r>
          </w:p>
        </w:tc>
        <w:tc>
          <w:tcPr>
            <w:tcW w:w="492" w:type="pct"/>
            <w:shd w:val="clear" w:color="auto" w:fill="auto"/>
          </w:tcPr>
          <w:p>
            <w:pPr>
              <w:pStyle w:val="50"/>
              <w:ind w:left="-346" w:leftChars="-165" w:firstLine="360"/>
              <w:jc w:val="center"/>
              <w:rPr>
                <w:kern w:val="2"/>
                <w:sz w:val="18"/>
                <w:szCs w:val="18"/>
              </w:rPr>
            </w:pPr>
            <w:r>
              <w:rPr>
                <w:kern w:val="2"/>
                <w:sz w:val="18"/>
                <w:szCs w:val="18"/>
              </w:rPr>
              <w:t>mm</w:t>
            </w:r>
          </w:p>
        </w:tc>
        <w:tc>
          <w:tcPr>
            <w:tcW w:w="2335" w:type="pct"/>
            <w:shd w:val="clear" w:color="auto" w:fill="auto"/>
          </w:tcPr>
          <w:p>
            <w:pPr>
              <w:pStyle w:val="50"/>
              <w:ind w:left="-346" w:leftChars="-165" w:firstLine="360"/>
              <w:jc w:val="center"/>
              <w:rPr>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00" w:type="pct"/>
            <w:gridSpan w:val="4"/>
            <w:shd w:val="clear" w:color="auto" w:fill="auto"/>
          </w:tcPr>
          <w:p>
            <w:pPr>
              <w:pStyle w:val="50"/>
              <w:ind w:firstLine="0" w:firstLineChars="0"/>
              <w:rPr>
                <w:kern w:val="2"/>
                <w:sz w:val="18"/>
                <w:szCs w:val="18"/>
              </w:rPr>
            </w:pPr>
            <w:r>
              <w:rPr>
                <w:rFonts w:hint="eastAsia" w:ascii="黑体" w:hAnsi="黑体" w:eastAsia="黑体" w:cs="黑体"/>
                <w:sz w:val="18"/>
                <w:szCs w:val="18"/>
              </w:rPr>
              <w:t>注：</w:t>
            </w:r>
            <w:r>
              <w:rPr>
                <w:rFonts w:hint="eastAsia" w:hAnsi="宋体" w:cs="宋体"/>
                <w:sz w:val="18"/>
                <w:szCs w:val="18"/>
              </w:rPr>
              <w:t>测量</w:t>
            </w:r>
            <w:r>
              <w:rPr>
                <w:rFonts w:hint="eastAsia" w:asciiTheme="minorEastAsia" w:hAnsiTheme="minorEastAsia" w:eastAsiaTheme="minorEastAsia"/>
                <w:sz w:val="18"/>
                <w:szCs w:val="18"/>
              </w:rPr>
              <w:t>工作状态外形尺寸时，所有活动的工作部件均置于展开位置，不包括各种配套设备。</w:t>
            </w:r>
          </w:p>
        </w:tc>
      </w:tr>
    </w:tbl>
    <w:p>
      <w:pPr>
        <w:spacing w:before="156" w:beforeLines="50" w:after="120" w:line="360" w:lineRule="auto"/>
        <w:ind w:firstLine="283" w:firstLineChars="135"/>
        <w:rPr>
          <w:rFonts w:ascii="宋体" w:hAnsi="宋体"/>
        </w:rPr>
      </w:pPr>
      <w:r>
        <w:rPr>
          <w:rFonts w:hint="eastAsia" w:ascii="宋体" w:hAnsi="宋体"/>
        </w:rPr>
        <w:t>制造商负责人：              （公章）                                      年   月   日</w:t>
      </w:r>
    </w:p>
    <w:p>
      <w:pPr>
        <w:spacing w:before="156" w:beforeLines="50" w:after="120" w:line="360" w:lineRule="auto"/>
        <w:ind w:firstLine="283" w:firstLineChars="135"/>
        <w:rPr>
          <w:rFonts w:ascii="宋体" w:hAnsi="宋体"/>
        </w:rPr>
      </w:pPr>
    </w:p>
    <w:bookmarkEnd w:id="84"/>
    <w:bookmarkEnd w:id="85"/>
    <w:bookmarkEnd w:id="86"/>
    <w:bookmarkEnd w:id="87"/>
    <w:bookmarkEnd w:id="88"/>
    <w:p>
      <w:pPr>
        <w:pStyle w:val="50"/>
        <w:ind w:firstLine="0" w:firstLineChars="0"/>
        <w:jc w:val="center"/>
      </w:pPr>
      <w:r>
        <w:t>_________________________________</w:t>
      </w:r>
      <w:r>
        <mc:AlternateContent>
          <mc:Choice Requires="wps">
            <w:drawing>
              <wp:anchor distT="0" distB="0" distL="114300" distR="114300" simplePos="0" relativeHeight="251662336" behindDoc="0" locked="0" layoutInCell="1" allowOverlap="1">
                <wp:simplePos x="0" y="0"/>
                <wp:positionH relativeFrom="column">
                  <wp:posOffset>1020445</wp:posOffset>
                </wp:positionH>
                <wp:positionV relativeFrom="paragraph">
                  <wp:posOffset>7464425</wp:posOffset>
                </wp:positionV>
                <wp:extent cx="37338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373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0.35pt;margin-top:587.75pt;height:0pt;width:294pt;z-index:251662336;mso-width-relative:page;mso-height-relative:page;" filled="f" stroked="t" coordsize="21600,21600" o:gfxdata="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BwI&#10;/v3XAAAADQEAAA8AAAAAAAAAAQAgAAAAOAAAAGRycy9kb3ducmV2LnhtbFBLAQIUABQAAAAIAIdO&#10;4kAZM0O41QEAAIUDAAAOAAAAAAAAAAEAIAAAADwBAABkcnMvZTJvRG9jLnhtbFBLBQYAAAAABgAG&#10;AFkBAACDBQAAAAA=&#10;">
                <v:fill on="f" focussize="0,0"/>
                <v:stroke color="#000000 [3200]" joinstyle="round"/>
                <v:imagedata o:title=""/>
                <o:lock v:ext="edit" aspectratio="f"/>
              </v:line>
            </w:pict>
          </mc:Fallback>
        </mc:AlternateContent>
      </w:r>
    </w:p>
    <w:sectPr>
      <w:footerReference r:id="rId11" w:type="default"/>
      <w:pgSz w:w="11907" w:h="16839"/>
      <w:pgMar w:top="1418" w:right="1134" w:bottom="1134" w:left="1418" w:header="1021" w:footer="1021"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1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rPr>
        <w:rStyle w:val="34"/>
      </w:rPr>
    </w:pPr>
    <w:r>
      <w:fldChar w:fldCharType="begin"/>
    </w:r>
    <w:r>
      <w:rPr>
        <w:rStyle w:val="34"/>
      </w:rPr>
      <w:instrText xml:space="preserve">PAGE  </w:instrText>
    </w:r>
    <w:r>
      <w:fldChar w:fldCharType="separate"/>
    </w:r>
    <w:r>
      <w:rPr>
        <w:rStyle w:val="34"/>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pPr>
    <w:r>
      <w:fldChar w:fldCharType="begin"/>
    </w:r>
    <w:r>
      <w:rPr>
        <w:rStyle w:val="34"/>
      </w:rPr>
      <w:instrText xml:space="preserve"> PAGE </w:instrText>
    </w:r>
    <w:r>
      <w:fldChar w:fldCharType="separate"/>
    </w:r>
    <w:r>
      <w:rPr>
        <w:rStyle w:val="34"/>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rPr>
        <w:rStyle w:val="34"/>
      </w:rPr>
    </w:pPr>
    <w:r>
      <w:fldChar w:fldCharType="begin"/>
    </w:r>
    <w:r>
      <w:rPr>
        <w:rStyle w:val="34"/>
      </w:rPr>
      <w:instrText xml:space="preserve">PAGE  </w:instrText>
    </w:r>
    <w:r>
      <w:fldChar w:fldCharType="separate"/>
    </w:r>
    <w:r>
      <w:rPr>
        <w:rStyle w:val="34"/>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rPr>
        <w:rStyle w:val="34"/>
        <w:rFonts w:ascii="宋体" w:hAnsi="宋体"/>
      </w:rPr>
    </w:pPr>
    <w:r>
      <w:rPr>
        <w:rFonts w:ascii="宋体" w:hAnsi="宋体"/>
      </w:rPr>
      <w:fldChar w:fldCharType="begin"/>
    </w:r>
    <w:r>
      <w:rPr>
        <w:rStyle w:val="34"/>
        <w:rFonts w:ascii="宋体" w:hAnsi="宋体"/>
      </w:rPr>
      <w:instrText xml:space="preserve">PAGE  </w:instrText>
    </w:r>
    <w:r>
      <w:rPr>
        <w:rFonts w:ascii="宋体" w:hAnsi="宋体"/>
      </w:rPr>
      <w:fldChar w:fldCharType="separate"/>
    </w:r>
    <w:r>
      <w:rPr>
        <w:rStyle w:val="34"/>
        <w:rFonts w:ascii="宋体" w:hAnsi="宋体"/>
      </w:rPr>
      <w:t>3</w:t>
    </w:r>
    <w:r>
      <w:rPr>
        <w:rFonts w:ascii="宋体" w:hAnsi="宋体"/>
      </w:rP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2"/>
    </w:pPr>
    <w:r>
      <w:t>CETAM ××××-2004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2"/>
      <w:ind w:right="210"/>
      <w:jc w:val="both"/>
      <w:rPr>
        <w:rFonts w:hint="default" w:ascii="黑体" w:eastAsia="黑体"/>
        <w:lang w:val="en-US" w:eastAsia="zh-CN"/>
      </w:rPr>
    </w:pPr>
    <w:r>
      <w:rPr>
        <w:rFonts w:hint="eastAsia" w:ascii="黑体" w:eastAsia="黑体"/>
      </w:rPr>
      <w:t xml:space="preserve">DG31/Z </w:t>
    </w:r>
    <w:r>
      <w:rPr>
        <w:rFonts w:hint="eastAsia" w:ascii="黑体" w:eastAsia="黑体"/>
        <w:lang w:val="en-US" w:eastAsia="zh-CN"/>
      </w:rPr>
      <w:t>001</w:t>
    </w:r>
    <w:r>
      <w:rPr>
        <w:rFonts w:hint="eastAsia" w:ascii="黑体" w:eastAsia="黑体"/>
      </w:rPr>
      <w:t>—</w:t>
    </w:r>
    <w:r>
      <w:rPr>
        <w:rFonts w:hint="eastAsia" w:ascii="黑体" w:eastAsia="黑体"/>
        <w:lang w:val="en-US" w:eastAsia="zh-CN"/>
      </w:rPr>
      <w:t>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8"/>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2"/>
      <w:rPr>
        <w:rFonts w:hint="default" w:ascii="黑体" w:hAnsi="黑体" w:eastAsia="黑体"/>
        <w:lang w:val="en-US" w:eastAsia="zh-CN"/>
      </w:rPr>
    </w:pPr>
    <w:r>
      <w:rPr>
        <w:rFonts w:hint="eastAsia" w:ascii="黑体" w:hAnsi="黑体" w:eastAsia="黑体"/>
      </w:rPr>
      <w:t>DG31/</w:t>
    </w:r>
    <w:r>
      <w:rPr>
        <w:rFonts w:ascii="黑体" w:hAnsi="黑体" w:eastAsia="黑体"/>
      </w:rPr>
      <w:t xml:space="preserve">Z </w:t>
    </w:r>
    <w:r>
      <w:rPr>
        <w:rFonts w:hint="eastAsia" w:ascii="黑体" w:hAnsi="黑体" w:eastAsia="黑体"/>
        <w:lang w:val="en-US" w:eastAsia="zh-CN"/>
      </w:rPr>
      <w:t>001</w:t>
    </w:r>
    <w:r>
      <w:rPr>
        <w:rFonts w:hint="eastAsia" w:ascii="黑体" w:hAnsi="黑体" w:eastAsia="黑体"/>
      </w:rPr>
      <w:t>—</w:t>
    </w:r>
    <w:r>
      <w:rPr>
        <w:rFonts w:hint="eastAsia" w:ascii="黑体" w:hAnsi="黑体" w:eastAsia="黑体"/>
        <w:lang w:val="en-US" w:eastAsia="zh-CN"/>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10463F"/>
    <w:multiLevelType w:val="multilevel"/>
    <w:tmpl w:val="5710463F"/>
    <w:lvl w:ilvl="0" w:tentative="0">
      <w:start w:val="1"/>
      <w:numFmt w:val="lowerLetter"/>
      <w:lvlText w:val="%1)"/>
      <w:lvlJc w:val="left"/>
      <w:pPr>
        <w:tabs>
          <w:tab w:val="left" w:pos="0"/>
        </w:tabs>
        <w:ind w:left="0" w:firstLine="420"/>
      </w:pPr>
      <w:rPr>
        <w:rFonts w:hint="default" w:cs="Times New Roman"/>
      </w:rPr>
    </w:lvl>
    <w:lvl w:ilvl="1" w:tentative="0">
      <w:start w:val="1"/>
      <w:numFmt w:val="lowerLetter"/>
      <w:lvlText w:val="%2)"/>
      <w:lvlJc w:val="left"/>
      <w:pPr>
        <w:tabs>
          <w:tab w:val="left" w:pos="0"/>
        </w:tabs>
        <w:ind w:left="1260" w:hanging="420"/>
      </w:pPr>
      <w:rPr>
        <w:rFonts w:cs="Times New Roman"/>
      </w:rPr>
    </w:lvl>
    <w:lvl w:ilvl="2" w:tentative="0">
      <w:start w:val="1"/>
      <w:numFmt w:val="lowerRoman"/>
      <w:lvlText w:val="%3."/>
      <w:lvlJc w:val="right"/>
      <w:pPr>
        <w:tabs>
          <w:tab w:val="left" w:pos="0"/>
        </w:tabs>
        <w:ind w:left="1680" w:hanging="420"/>
      </w:pPr>
      <w:rPr>
        <w:rFonts w:cs="Times New Roman"/>
      </w:rPr>
    </w:lvl>
    <w:lvl w:ilvl="3" w:tentative="0">
      <w:start w:val="1"/>
      <w:numFmt w:val="decimal"/>
      <w:lvlText w:val="%4."/>
      <w:lvlJc w:val="left"/>
      <w:pPr>
        <w:tabs>
          <w:tab w:val="left" w:pos="0"/>
        </w:tabs>
        <w:ind w:left="2100" w:hanging="420"/>
      </w:pPr>
      <w:rPr>
        <w:rFonts w:cs="Times New Roman"/>
      </w:rPr>
    </w:lvl>
    <w:lvl w:ilvl="4" w:tentative="0">
      <w:start w:val="1"/>
      <w:numFmt w:val="lowerLetter"/>
      <w:lvlText w:val="%5)"/>
      <w:lvlJc w:val="left"/>
      <w:pPr>
        <w:tabs>
          <w:tab w:val="left" w:pos="0"/>
        </w:tabs>
        <w:ind w:left="2520" w:hanging="420"/>
      </w:pPr>
      <w:rPr>
        <w:rFonts w:cs="Times New Roman"/>
      </w:rPr>
    </w:lvl>
    <w:lvl w:ilvl="5" w:tentative="0">
      <w:start w:val="1"/>
      <w:numFmt w:val="lowerRoman"/>
      <w:lvlText w:val="%6."/>
      <w:lvlJc w:val="right"/>
      <w:pPr>
        <w:tabs>
          <w:tab w:val="left" w:pos="0"/>
        </w:tabs>
        <w:ind w:left="2940" w:hanging="420"/>
      </w:pPr>
      <w:rPr>
        <w:rFonts w:cs="Times New Roman"/>
      </w:rPr>
    </w:lvl>
    <w:lvl w:ilvl="6" w:tentative="0">
      <w:start w:val="1"/>
      <w:numFmt w:val="decimal"/>
      <w:lvlText w:val="%7."/>
      <w:lvlJc w:val="left"/>
      <w:pPr>
        <w:tabs>
          <w:tab w:val="left" w:pos="0"/>
        </w:tabs>
        <w:ind w:left="3360" w:hanging="420"/>
      </w:pPr>
      <w:rPr>
        <w:rFonts w:cs="Times New Roman"/>
      </w:rPr>
    </w:lvl>
    <w:lvl w:ilvl="7" w:tentative="0">
      <w:start w:val="1"/>
      <w:numFmt w:val="lowerLetter"/>
      <w:lvlText w:val="%8)"/>
      <w:lvlJc w:val="left"/>
      <w:pPr>
        <w:tabs>
          <w:tab w:val="left" w:pos="0"/>
        </w:tabs>
        <w:ind w:left="3780" w:hanging="420"/>
      </w:pPr>
      <w:rPr>
        <w:rFonts w:cs="Times New Roman"/>
      </w:rPr>
    </w:lvl>
    <w:lvl w:ilvl="8" w:tentative="0">
      <w:start w:val="1"/>
      <w:numFmt w:val="lowerRoman"/>
      <w:lvlText w:val="%9."/>
      <w:lvlJc w:val="right"/>
      <w:pPr>
        <w:tabs>
          <w:tab w:val="left" w:pos="0"/>
        </w:tabs>
        <w:ind w:left="4200" w:hanging="420"/>
      </w:pPr>
      <w:rPr>
        <w:rFonts w:cs="Times New Roman"/>
      </w:rPr>
    </w:lvl>
  </w:abstractNum>
  <w:abstractNum w:abstractNumId="1">
    <w:nsid w:val="646260FA"/>
    <w:multiLevelType w:val="multilevel"/>
    <w:tmpl w:val="646260FA"/>
    <w:lvl w:ilvl="0" w:tentative="0">
      <w:start w:val="1"/>
      <w:numFmt w:val="decimal"/>
      <w:pStyle w:val="54"/>
      <w:suff w:val="nothing"/>
      <w:lvlText w:val="表%1　"/>
      <w:lvlJc w:val="left"/>
      <w:pPr>
        <w:ind w:left="2410" w:firstLine="0"/>
      </w:pPr>
      <w:rPr>
        <w:rFonts w:hint="eastAsia" w:ascii="黑体" w:hAnsi="Times New Roman" w:eastAsia="黑体"/>
        <w:b w:val="0"/>
        <w:i w:val="0"/>
        <w:sz w:val="21"/>
        <w:lang w:val="en-US"/>
      </w:rPr>
    </w:lvl>
    <w:lvl w:ilvl="1" w:tentative="0">
      <w:start w:val="1"/>
      <w:numFmt w:val="decimal"/>
      <w:lvlText w:val="%1.%2"/>
      <w:lvlJc w:val="left"/>
      <w:pPr>
        <w:tabs>
          <w:tab w:val="left" w:pos="1622"/>
        </w:tabs>
        <w:ind w:left="1622" w:hanging="567"/>
      </w:pPr>
      <w:rPr>
        <w:rFonts w:hint="eastAsia"/>
      </w:rPr>
    </w:lvl>
    <w:lvl w:ilvl="2" w:tentative="0">
      <w:start w:val="1"/>
      <w:numFmt w:val="decimal"/>
      <w:lvlText w:val="%1.%2.%3"/>
      <w:lvlJc w:val="left"/>
      <w:pPr>
        <w:tabs>
          <w:tab w:val="left" w:pos="2048"/>
        </w:tabs>
        <w:ind w:left="2048" w:hanging="567"/>
      </w:pPr>
      <w:rPr>
        <w:rFonts w:hint="eastAsia"/>
      </w:rPr>
    </w:lvl>
    <w:lvl w:ilvl="3" w:tentative="0">
      <w:start w:val="1"/>
      <w:numFmt w:val="decimal"/>
      <w:lvlText w:val="%1.%2.%3.%4"/>
      <w:lvlJc w:val="left"/>
      <w:pPr>
        <w:tabs>
          <w:tab w:val="left" w:pos="2614"/>
        </w:tabs>
        <w:ind w:left="2614" w:hanging="708"/>
      </w:pPr>
      <w:rPr>
        <w:rFonts w:hint="eastAsia"/>
      </w:rPr>
    </w:lvl>
    <w:lvl w:ilvl="4" w:tentative="0">
      <w:start w:val="1"/>
      <w:numFmt w:val="decimal"/>
      <w:lvlText w:val="%1.%2.%3.%4.%5"/>
      <w:lvlJc w:val="left"/>
      <w:pPr>
        <w:tabs>
          <w:tab w:val="left" w:pos="3181"/>
        </w:tabs>
        <w:ind w:left="3181" w:hanging="850"/>
      </w:pPr>
      <w:rPr>
        <w:rFonts w:hint="eastAsia"/>
      </w:rPr>
    </w:lvl>
    <w:lvl w:ilvl="5" w:tentative="0">
      <w:start w:val="1"/>
      <w:numFmt w:val="decimal"/>
      <w:lvlText w:val="%1.%2.%3.%4.%5.%6"/>
      <w:lvlJc w:val="left"/>
      <w:pPr>
        <w:tabs>
          <w:tab w:val="left" w:pos="3890"/>
        </w:tabs>
        <w:ind w:left="3890" w:hanging="1134"/>
      </w:pPr>
      <w:rPr>
        <w:rFonts w:hint="eastAsia"/>
      </w:rPr>
    </w:lvl>
    <w:lvl w:ilvl="6" w:tentative="0">
      <w:start w:val="1"/>
      <w:numFmt w:val="decimal"/>
      <w:lvlText w:val="%1.%2.%3.%4.%5.%6.%7"/>
      <w:lvlJc w:val="left"/>
      <w:pPr>
        <w:tabs>
          <w:tab w:val="left" w:pos="4457"/>
        </w:tabs>
        <w:ind w:left="4457" w:hanging="1276"/>
      </w:pPr>
      <w:rPr>
        <w:rFonts w:hint="eastAsia"/>
      </w:rPr>
    </w:lvl>
    <w:lvl w:ilvl="7" w:tentative="0">
      <w:start w:val="1"/>
      <w:numFmt w:val="decimal"/>
      <w:lvlText w:val="%1.%2.%3.%4.%5.%6.%7.%8"/>
      <w:lvlJc w:val="left"/>
      <w:pPr>
        <w:tabs>
          <w:tab w:val="left" w:pos="5024"/>
        </w:tabs>
        <w:ind w:left="5024" w:hanging="1418"/>
      </w:pPr>
      <w:rPr>
        <w:rFonts w:hint="eastAsia"/>
      </w:rPr>
    </w:lvl>
    <w:lvl w:ilvl="8" w:tentative="0">
      <w:start w:val="1"/>
      <w:numFmt w:val="decimal"/>
      <w:lvlText w:val="%1.%2.%3.%4.%5.%6.%7.%8.%9"/>
      <w:lvlJc w:val="left"/>
      <w:pPr>
        <w:tabs>
          <w:tab w:val="left" w:pos="5732"/>
        </w:tabs>
        <w:ind w:left="5732" w:hanging="1700"/>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91"/>
      <w:suff w:val="nothing"/>
      <w:lvlText w:val="%1%2　"/>
      <w:lvlJc w:val="left"/>
      <w:pPr>
        <w:ind w:left="0" w:firstLine="0"/>
      </w:pPr>
      <w:rPr>
        <w:rFonts w:hint="eastAsia"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2" w:tentative="0">
      <w:start w:val="1"/>
      <w:numFmt w:val="decimal"/>
      <w:pStyle w:val="49"/>
      <w:suff w:val="nothing"/>
      <w:lvlText w:val="%13.%3　"/>
      <w:lvlJc w:val="left"/>
      <w:pPr>
        <w:ind w:left="0" w:firstLine="0"/>
      </w:pPr>
      <w:rPr>
        <w:rFonts w:hint="eastAsia"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pStyle w:val="51"/>
      <w:suff w:val="nothing"/>
      <w:lvlText w:val="%1%2.%3.%4　"/>
      <w:lvlJc w:val="left"/>
      <w:pPr>
        <w:ind w:left="426" w:firstLine="0"/>
      </w:pPr>
      <w:rPr>
        <w:rFonts w:hint="eastAsia" w:ascii="黑体" w:eastAsia="黑体"/>
        <w:b w:val="0"/>
      </w:rPr>
    </w:lvl>
    <w:lvl w:ilvl="4" w:tentative="0">
      <w:start w:val="1"/>
      <w:numFmt w:val="decimal"/>
      <w:pStyle w:val="52"/>
      <w:suff w:val="nothing"/>
      <w:lvlText w:val="%1%2.%3.%4.%5　"/>
      <w:lvlJc w:val="left"/>
      <w:pPr>
        <w:ind w:left="1277" w:firstLine="0"/>
      </w:pPr>
      <w:rPr>
        <w:rFonts w:hint="eastAsia" w:ascii="黑体" w:eastAsia="黑体"/>
        <w:color w:val="auto"/>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2"/>
    <w:lvlOverride w:ilvl="0">
      <w:lvl w:ilvl="0" w:tentative="1">
        <w:start w:val="1"/>
        <w:numFmt w:val="none"/>
        <w:suff w:val="nothing"/>
        <w:lvlText w:val="%1"/>
        <w:lvlJc w:val="left"/>
        <w:pPr>
          <w:ind w:left="0" w:firstLine="0"/>
        </w:pPr>
        <w:rPr>
          <w:rFonts w:hint="default" w:ascii="Times New Roman" w:hAnsi="Times New Roman"/>
          <w:b/>
          <w:i w:val="0"/>
          <w:sz w:val="21"/>
        </w:rPr>
      </w:lvl>
    </w:lvlOverride>
    <w:lvlOverride w:ilvl="1">
      <w:lvl w:ilvl="1" w:tentative="1">
        <w:start w:val="1"/>
        <w:numFmt w:val="decimal"/>
        <w:suff w:val="nothing"/>
        <w:lvlText w:val="%1%2　"/>
        <w:lvlJc w:val="left"/>
        <w:pPr>
          <w:ind w:left="0" w:firstLine="0"/>
        </w:pPr>
        <w:rPr>
          <w:rFonts w:hint="eastAsia" w:ascii="黑体" w:hAnsi="Times New Roman" w:eastAsia="黑体"/>
          <w:b w:val="0"/>
          <w:i w:val="0"/>
          <w:sz w:val="21"/>
        </w:rPr>
      </w:lvl>
    </w:lvlOverride>
    <w:lvlOverride w:ilvl="2">
      <w:lvl w:ilvl="2" w:tentative="1">
        <w:start w:val="1"/>
        <w:numFmt w:val="decimal"/>
        <w:suff w:val="nothing"/>
        <w:lvlText w:val="%1%2.%3　"/>
        <w:lvlJc w:val="left"/>
        <w:pPr>
          <w:ind w:left="0" w:firstLine="0"/>
        </w:pPr>
        <w:rPr>
          <w:rFonts w:hint="eastAsia" w:ascii="黑体" w:hAnsi="Times New Roman" w:eastAsia="黑体"/>
          <w:b w:val="0"/>
          <w:i w:val="0"/>
          <w:sz w:val="21"/>
        </w:rPr>
      </w:lvl>
    </w:lvlOverride>
    <w:lvlOverride w:ilvl="3">
      <w:lvl w:ilvl="3" w:tentative="1">
        <w:start w:val="1"/>
        <w:numFmt w:val="decimal"/>
        <w:suff w:val="nothing"/>
        <w:lvlText w:val="%1%2.%3.%4　"/>
        <w:lvlJc w:val="left"/>
        <w:pPr>
          <w:ind w:left="426" w:firstLine="0"/>
        </w:pPr>
        <w:rPr>
          <w:rFonts w:hint="eastAsia" w:ascii="黑体" w:eastAsia="黑体"/>
          <w:b w:val="0"/>
        </w:rPr>
      </w:lvl>
    </w:lvlOverride>
    <w:lvlOverride w:ilvl="4">
      <w:lvl w:ilvl="4" w:tentative="1">
        <w:start w:val="1"/>
        <w:numFmt w:val="decimal"/>
        <w:suff w:val="nothing"/>
        <w:lvlText w:val="%1%2.%3.%4.%5　"/>
        <w:lvlJc w:val="left"/>
        <w:pPr>
          <w:ind w:left="710" w:firstLine="0"/>
        </w:pPr>
        <w:rPr>
          <w:rFonts w:hint="eastAsia" w:ascii="黑体" w:eastAsia="黑体"/>
          <w:color w:val="auto"/>
        </w:rPr>
      </w:lvl>
    </w:lvlOverride>
    <w:lvlOverride w:ilvl="5">
      <w:lvl w:ilvl="5" w:tentative="1">
        <w:start w:val="1"/>
        <w:numFmt w:val="decimal"/>
        <w:suff w:val="nothing"/>
        <w:lvlText w:val="%1%2.%3.%4.%5.%6　"/>
        <w:lvlJc w:val="left"/>
        <w:pPr>
          <w:ind w:left="0" w:firstLine="0"/>
        </w:pPr>
        <w:rPr>
          <w:rFonts w:hint="eastAsia" w:ascii="黑体" w:hAnsi="Times New Roman" w:eastAsia="黑体"/>
          <w:b w:val="0"/>
          <w:i w:val="0"/>
          <w:sz w:val="21"/>
        </w:rPr>
      </w:lvl>
    </w:lvlOverride>
    <w:lvlOverride w:ilvl="6">
      <w:lvl w:ilvl="6" w:tentative="1">
        <w:start w:val="1"/>
        <w:numFmt w:val="decimal"/>
        <w:suff w:val="nothing"/>
        <w:lvlText w:val="%1%2.%3.%4.%5.%6.%7　"/>
        <w:lvlJc w:val="left"/>
        <w:pPr>
          <w:ind w:left="0" w:firstLine="0"/>
        </w:pPr>
        <w:rPr>
          <w:rFonts w:hint="eastAsia" w:ascii="黑体" w:hAnsi="Times New Roman" w:eastAsia="黑体"/>
          <w:b w:val="0"/>
          <w:i w:val="0"/>
          <w:sz w:val="21"/>
        </w:rPr>
      </w:lvl>
    </w:lvlOverride>
    <w:lvlOverride w:ilvl="7">
      <w:lvl w:ilvl="7" w:tentative="1">
        <w:start w:val="1"/>
        <w:numFmt w:val="decimal"/>
        <w:lvlText w:val="%1.%2.%3.%4.%5.%6.%7.%8"/>
        <w:lvlJc w:val="left"/>
        <w:pPr>
          <w:tabs>
            <w:tab w:val="left" w:pos="4351"/>
          </w:tabs>
          <w:ind w:left="3969" w:hanging="1418"/>
        </w:pPr>
        <w:rPr>
          <w:rFonts w:hint="eastAsia"/>
        </w:rPr>
      </w:lvl>
    </w:lvlOverride>
    <w:lvlOverride w:ilvl="8">
      <w:lvl w:ilvl="8" w:tentative="1">
        <w:start w:val="1"/>
        <w:numFmt w:val="decimal"/>
        <w:lvlText w:val="%1.%2.%3.%4.%5.%6.%7.%8.%9"/>
        <w:lvlJc w:val="left"/>
        <w:pPr>
          <w:tabs>
            <w:tab w:val="left" w:pos="4777"/>
          </w:tabs>
          <w:ind w:left="4677" w:hanging="1700"/>
        </w:pPr>
        <w:rPr>
          <w:rFonts w:hint="eastAsia"/>
        </w:rPr>
      </w:lvl>
    </w:lvlOverride>
  </w:num>
  <w:num w:numId="4">
    <w:abstractNumId w:val="0"/>
  </w:num>
  <w:num w:numId="5">
    <w:abstractNumId w:val="2"/>
    <w:lvlOverride w:ilvl="0">
      <w:lvl w:ilvl="0" w:tentative="1">
        <w:start w:val="1"/>
        <w:numFmt w:val="none"/>
        <w:suff w:val="nothing"/>
        <w:lvlText w:val="%1"/>
        <w:lvlJc w:val="left"/>
        <w:pPr>
          <w:ind w:left="0" w:firstLine="0"/>
        </w:pPr>
        <w:rPr>
          <w:rFonts w:hint="default" w:ascii="Times New Roman" w:hAnsi="Times New Roman"/>
          <w:b/>
          <w:i w:val="0"/>
          <w:sz w:val="21"/>
        </w:rPr>
      </w:lvl>
    </w:lvlOverride>
    <w:lvlOverride w:ilvl="1">
      <w:lvl w:ilvl="1" w:tentative="1">
        <w:start w:val="1"/>
        <w:numFmt w:val="decimal"/>
        <w:suff w:val="nothing"/>
        <w:lvlText w:val="%1%2　"/>
        <w:lvlJc w:val="left"/>
        <w:pPr>
          <w:ind w:left="0" w:firstLine="0"/>
        </w:pPr>
        <w:rPr>
          <w:rFonts w:hint="eastAsia" w:ascii="黑体" w:hAnsi="Times New Roman" w:eastAsia="黑体"/>
          <w:b w:val="0"/>
          <w:i w:val="0"/>
          <w:sz w:val="21"/>
        </w:rPr>
      </w:lvl>
    </w:lvlOverride>
    <w:lvlOverride w:ilvl="2">
      <w:lvl w:ilvl="2" w:tentative="1">
        <w:start w:val="1"/>
        <w:numFmt w:val="decimal"/>
        <w:suff w:val="nothing"/>
        <w:lvlText w:val="%14.%3　"/>
        <w:lvlJc w:val="left"/>
        <w:pPr>
          <w:ind w:left="0" w:firstLine="0"/>
        </w:pPr>
        <w:rPr>
          <w:rFonts w:hint="eastAsia" w:ascii="黑体" w:hAnsi="Times New Roman" w:eastAsia="黑体"/>
          <w:b w:val="0"/>
          <w:i w:val="0"/>
          <w:sz w:val="21"/>
        </w:rPr>
      </w:lvl>
    </w:lvlOverride>
    <w:lvlOverride w:ilvl="3">
      <w:lvl w:ilvl="3" w:tentative="1">
        <w:start w:val="1"/>
        <w:numFmt w:val="decimal"/>
        <w:suff w:val="nothing"/>
        <w:lvlText w:val="%1%2.%3.%4　"/>
        <w:lvlJc w:val="left"/>
        <w:pPr>
          <w:ind w:left="283" w:firstLine="0"/>
        </w:pPr>
        <w:rPr>
          <w:rFonts w:hint="eastAsia" w:ascii="黑体" w:eastAsia="黑体"/>
          <w:b w:val="0"/>
        </w:rPr>
      </w:lvl>
    </w:lvlOverride>
    <w:lvlOverride w:ilvl="4">
      <w:lvl w:ilvl="4" w:tentative="1">
        <w:start w:val="1"/>
        <w:numFmt w:val="decimal"/>
        <w:suff w:val="nothing"/>
        <w:lvlText w:val="%1%2.%3.%4.%5　"/>
        <w:lvlJc w:val="left"/>
        <w:pPr>
          <w:ind w:left="2552" w:firstLine="0"/>
        </w:pPr>
        <w:rPr>
          <w:rFonts w:hint="eastAsia" w:ascii="黑体" w:eastAsia="黑体"/>
          <w:color w:val="auto"/>
        </w:rPr>
      </w:lvl>
    </w:lvlOverride>
    <w:lvlOverride w:ilvl="5">
      <w:lvl w:ilvl="5" w:tentative="1">
        <w:start w:val="1"/>
        <w:numFmt w:val="decimal"/>
        <w:suff w:val="nothing"/>
        <w:lvlText w:val="%1%2.%3.%4.%5.%6　"/>
        <w:lvlJc w:val="left"/>
        <w:pPr>
          <w:ind w:left="0" w:firstLine="0"/>
        </w:pPr>
        <w:rPr>
          <w:rFonts w:hint="eastAsia" w:ascii="黑体" w:hAnsi="Times New Roman" w:eastAsia="黑体"/>
          <w:b w:val="0"/>
          <w:i w:val="0"/>
          <w:sz w:val="21"/>
        </w:rPr>
      </w:lvl>
    </w:lvlOverride>
    <w:lvlOverride w:ilvl="6">
      <w:lvl w:ilvl="6" w:tentative="1">
        <w:start w:val="1"/>
        <w:numFmt w:val="decimal"/>
        <w:suff w:val="nothing"/>
        <w:lvlText w:val="%1%2.%3.%4.%5.%6.%7　"/>
        <w:lvlJc w:val="left"/>
        <w:pPr>
          <w:ind w:left="0" w:firstLine="0"/>
        </w:pPr>
        <w:rPr>
          <w:rFonts w:hint="eastAsia" w:ascii="黑体" w:hAnsi="Times New Roman" w:eastAsia="黑体"/>
          <w:b w:val="0"/>
          <w:i w:val="0"/>
          <w:sz w:val="21"/>
        </w:rPr>
      </w:lvl>
    </w:lvlOverride>
    <w:lvlOverride w:ilvl="7">
      <w:lvl w:ilvl="7" w:tentative="1">
        <w:start w:val="1"/>
        <w:numFmt w:val="decimal"/>
        <w:lvlText w:val="%1.%2.%3.%4.%5.%6.%7.%8"/>
        <w:lvlJc w:val="left"/>
        <w:pPr>
          <w:tabs>
            <w:tab w:val="left" w:pos="4351"/>
          </w:tabs>
          <w:ind w:left="3969" w:hanging="1418"/>
        </w:pPr>
        <w:rPr>
          <w:rFonts w:hint="eastAsia"/>
        </w:rPr>
      </w:lvl>
    </w:lvlOverride>
    <w:lvlOverride w:ilvl="8">
      <w:lvl w:ilvl="8" w:tentative="1">
        <w:start w:val="1"/>
        <w:numFmt w:val="decimal"/>
        <w:lvlText w:val="%1.%2.%3.%4.%5.%6.%7.%8.%9"/>
        <w:lvlJc w:val="left"/>
        <w:pPr>
          <w:tabs>
            <w:tab w:val="left" w:pos="4777"/>
          </w:tabs>
          <w:ind w:left="4677"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35"/>
    <w:rsid w:val="00001B58"/>
    <w:rsid w:val="00002CF2"/>
    <w:rsid w:val="00002E3F"/>
    <w:rsid w:val="00002FDE"/>
    <w:rsid w:val="00004AA1"/>
    <w:rsid w:val="0000653D"/>
    <w:rsid w:val="000065E3"/>
    <w:rsid w:val="000066EB"/>
    <w:rsid w:val="00011B69"/>
    <w:rsid w:val="00012D5A"/>
    <w:rsid w:val="000133A0"/>
    <w:rsid w:val="000133A2"/>
    <w:rsid w:val="00013B0A"/>
    <w:rsid w:val="00013B4B"/>
    <w:rsid w:val="00014438"/>
    <w:rsid w:val="00016BFF"/>
    <w:rsid w:val="00017B08"/>
    <w:rsid w:val="00017E2E"/>
    <w:rsid w:val="000232F6"/>
    <w:rsid w:val="000234E5"/>
    <w:rsid w:val="000249DA"/>
    <w:rsid w:val="000255A2"/>
    <w:rsid w:val="00025735"/>
    <w:rsid w:val="0002597A"/>
    <w:rsid w:val="0002619E"/>
    <w:rsid w:val="00026628"/>
    <w:rsid w:val="00026728"/>
    <w:rsid w:val="0002796D"/>
    <w:rsid w:val="0003143E"/>
    <w:rsid w:val="0003330E"/>
    <w:rsid w:val="00043895"/>
    <w:rsid w:val="00045FE4"/>
    <w:rsid w:val="00046FD8"/>
    <w:rsid w:val="00050C6C"/>
    <w:rsid w:val="0005363A"/>
    <w:rsid w:val="00054910"/>
    <w:rsid w:val="000555E3"/>
    <w:rsid w:val="0006566F"/>
    <w:rsid w:val="00066391"/>
    <w:rsid w:val="0006758A"/>
    <w:rsid w:val="00073738"/>
    <w:rsid w:val="00074BB9"/>
    <w:rsid w:val="00074E2C"/>
    <w:rsid w:val="00080FF2"/>
    <w:rsid w:val="00081F9C"/>
    <w:rsid w:val="00081FA8"/>
    <w:rsid w:val="0008271A"/>
    <w:rsid w:val="00083A96"/>
    <w:rsid w:val="00083C79"/>
    <w:rsid w:val="00085A3C"/>
    <w:rsid w:val="00087122"/>
    <w:rsid w:val="000900C1"/>
    <w:rsid w:val="00093A40"/>
    <w:rsid w:val="00093C77"/>
    <w:rsid w:val="00094325"/>
    <w:rsid w:val="000945C5"/>
    <w:rsid w:val="00094D6B"/>
    <w:rsid w:val="00096125"/>
    <w:rsid w:val="0009653F"/>
    <w:rsid w:val="00096B91"/>
    <w:rsid w:val="000A1599"/>
    <w:rsid w:val="000A1716"/>
    <w:rsid w:val="000A3C2C"/>
    <w:rsid w:val="000A4259"/>
    <w:rsid w:val="000A5136"/>
    <w:rsid w:val="000A6F47"/>
    <w:rsid w:val="000A749A"/>
    <w:rsid w:val="000A7F1B"/>
    <w:rsid w:val="000B127F"/>
    <w:rsid w:val="000B2E01"/>
    <w:rsid w:val="000B33CB"/>
    <w:rsid w:val="000C1347"/>
    <w:rsid w:val="000C14F9"/>
    <w:rsid w:val="000C5A75"/>
    <w:rsid w:val="000C5D46"/>
    <w:rsid w:val="000C65C4"/>
    <w:rsid w:val="000C66A3"/>
    <w:rsid w:val="000C7814"/>
    <w:rsid w:val="000D28F3"/>
    <w:rsid w:val="000D35F5"/>
    <w:rsid w:val="000D4F05"/>
    <w:rsid w:val="000D5C12"/>
    <w:rsid w:val="000D6C0E"/>
    <w:rsid w:val="000E12F2"/>
    <w:rsid w:val="000E16F6"/>
    <w:rsid w:val="000E1A5B"/>
    <w:rsid w:val="000E2824"/>
    <w:rsid w:val="000E3825"/>
    <w:rsid w:val="000E4C56"/>
    <w:rsid w:val="000E583C"/>
    <w:rsid w:val="000E6B85"/>
    <w:rsid w:val="000F0AA1"/>
    <w:rsid w:val="000F11EE"/>
    <w:rsid w:val="000F2502"/>
    <w:rsid w:val="000F2921"/>
    <w:rsid w:val="000F42EE"/>
    <w:rsid w:val="000F4356"/>
    <w:rsid w:val="000F5B00"/>
    <w:rsid w:val="00100182"/>
    <w:rsid w:val="00100903"/>
    <w:rsid w:val="0010096F"/>
    <w:rsid w:val="00100D1F"/>
    <w:rsid w:val="00102AA3"/>
    <w:rsid w:val="00103520"/>
    <w:rsid w:val="00103E6D"/>
    <w:rsid w:val="00104818"/>
    <w:rsid w:val="00104822"/>
    <w:rsid w:val="0011150C"/>
    <w:rsid w:val="00113625"/>
    <w:rsid w:val="0011388E"/>
    <w:rsid w:val="00113B6E"/>
    <w:rsid w:val="00113E02"/>
    <w:rsid w:val="0011432B"/>
    <w:rsid w:val="0011532D"/>
    <w:rsid w:val="0011627E"/>
    <w:rsid w:val="0012124F"/>
    <w:rsid w:val="00123D9C"/>
    <w:rsid w:val="00125E8F"/>
    <w:rsid w:val="0012761C"/>
    <w:rsid w:val="00127C0C"/>
    <w:rsid w:val="00131080"/>
    <w:rsid w:val="00132730"/>
    <w:rsid w:val="00132852"/>
    <w:rsid w:val="001329BA"/>
    <w:rsid w:val="00134209"/>
    <w:rsid w:val="00134F4A"/>
    <w:rsid w:val="00136467"/>
    <w:rsid w:val="00137D89"/>
    <w:rsid w:val="00140027"/>
    <w:rsid w:val="0014052A"/>
    <w:rsid w:val="00141064"/>
    <w:rsid w:val="00144DCA"/>
    <w:rsid w:val="00146EBB"/>
    <w:rsid w:val="00147727"/>
    <w:rsid w:val="001479C0"/>
    <w:rsid w:val="00150EDB"/>
    <w:rsid w:val="0015134D"/>
    <w:rsid w:val="00151943"/>
    <w:rsid w:val="00153079"/>
    <w:rsid w:val="00153C5A"/>
    <w:rsid w:val="00157B69"/>
    <w:rsid w:val="001607BF"/>
    <w:rsid w:val="001647EF"/>
    <w:rsid w:val="0017023C"/>
    <w:rsid w:val="00171726"/>
    <w:rsid w:val="0017611A"/>
    <w:rsid w:val="00181E32"/>
    <w:rsid w:val="00183560"/>
    <w:rsid w:val="00183CBC"/>
    <w:rsid w:val="001852FA"/>
    <w:rsid w:val="001855EE"/>
    <w:rsid w:val="00185E09"/>
    <w:rsid w:val="00187098"/>
    <w:rsid w:val="00187D61"/>
    <w:rsid w:val="00192456"/>
    <w:rsid w:val="00192DA4"/>
    <w:rsid w:val="0019491F"/>
    <w:rsid w:val="001959D1"/>
    <w:rsid w:val="00196AF8"/>
    <w:rsid w:val="00196DF6"/>
    <w:rsid w:val="0019729C"/>
    <w:rsid w:val="00197EA5"/>
    <w:rsid w:val="001A0C2C"/>
    <w:rsid w:val="001A313B"/>
    <w:rsid w:val="001A3B1A"/>
    <w:rsid w:val="001A4D68"/>
    <w:rsid w:val="001A4E88"/>
    <w:rsid w:val="001A4F60"/>
    <w:rsid w:val="001A5B9D"/>
    <w:rsid w:val="001A6AF8"/>
    <w:rsid w:val="001A6F0E"/>
    <w:rsid w:val="001A7051"/>
    <w:rsid w:val="001A74F2"/>
    <w:rsid w:val="001B2562"/>
    <w:rsid w:val="001B3671"/>
    <w:rsid w:val="001B4251"/>
    <w:rsid w:val="001B6BB0"/>
    <w:rsid w:val="001B7222"/>
    <w:rsid w:val="001B7A33"/>
    <w:rsid w:val="001B7AFB"/>
    <w:rsid w:val="001C1DEF"/>
    <w:rsid w:val="001C20BE"/>
    <w:rsid w:val="001C35AA"/>
    <w:rsid w:val="001C48C2"/>
    <w:rsid w:val="001C545C"/>
    <w:rsid w:val="001C5755"/>
    <w:rsid w:val="001D0214"/>
    <w:rsid w:val="001D0A24"/>
    <w:rsid w:val="001D135E"/>
    <w:rsid w:val="001D2014"/>
    <w:rsid w:val="001D2E8C"/>
    <w:rsid w:val="001D333F"/>
    <w:rsid w:val="001D3CF3"/>
    <w:rsid w:val="001D3E83"/>
    <w:rsid w:val="001D4A9A"/>
    <w:rsid w:val="001D4E12"/>
    <w:rsid w:val="001D5302"/>
    <w:rsid w:val="001D622D"/>
    <w:rsid w:val="001D7639"/>
    <w:rsid w:val="001E3709"/>
    <w:rsid w:val="001E3988"/>
    <w:rsid w:val="001E6D93"/>
    <w:rsid w:val="001E785C"/>
    <w:rsid w:val="001F05AC"/>
    <w:rsid w:val="001F0B04"/>
    <w:rsid w:val="001F184A"/>
    <w:rsid w:val="001F3269"/>
    <w:rsid w:val="001F3413"/>
    <w:rsid w:val="001F35E2"/>
    <w:rsid w:val="001F602F"/>
    <w:rsid w:val="001F64B9"/>
    <w:rsid w:val="00203467"/>
    <w:rsid w:val="00205773"/>
    <w:rsid w:val="00205A1C"/>
    <w:rsid w:val="00205DEE"/>
    <w:rsid w:val="00205E2B"/>
    <w:rsid w:val="00205E96"/>
    <w:rsid w:val="002100BF"/>
    <w:rsid w:val="00212E8E"/>
    <w:rsid w:val="0021337E"/>
    <w:rsid w:val="00214C78"/>
    <w:rsid w:val="0021639A"/>
    <w:rsid w:val="00216F48"/>
    <w:rsid w:val="00220284"/>
    <w:rsid w:val="00220B3D"/>
    <w:rsid w:val="00223529"/>
    <w:rsid w:val="00223AF1"/>
    <w:rsid w:val="00224D4F"/>
    <w:rsid w:val="0022521B"/>
    <w:rsid w:val="0023191D"/>
    <w:rsid w:val="00232788"/>
    <w:rsid w:val="00234730"/>
    <w:rsid w:val="0023532D"/>
    <w:rsid w:val="002356DB"/>
    <w:rsid w:val="00236822"/>
    <w:rsid w:val="002379A4"/>
    <w:rsid w:val="00240B9B"/>
    <w:rsid w:val="00243B57"/>
    <w:rsid w:val="0024499A"/>
    <w:rsid w:val="00244E0A"/>
    <w:rsid w:val="00244F55"/>
    <w:rsid w:val="00245952"/>
    <w:rsid w:val="00246586"/>
    <w:rsid w:val="00246A75"/>
    <w:rsid w:val="002479DB"/>
    <w:rsid w:val="00247FE6"/>
    <w:rsid w:val="002511D8"/>
    <w:rsid w:val="002516DB"/>
    <w:rsid w:val="00251AFA"/>
    <w:rsid w:val="002535F5"/>
    <w:rsid w:val="00254354"/>
    <w:rsid w:val="002549D2"/>
    <w:rsid w:val="00255696"/>
    <w:rsid w:val="00267CD1"/>
    <w:rsid w:val="00272190"/>
    <w:rsid w:val="0027229F"/>
    <w:rsid w:val="00272CDD"/>
    <w:rsid w:val="002730A1"/>
    <w:rsid w:val="00273B5C"/>
    <w:rsid w:val="0027408D"/>
    <w:rsid w:val="00274B29"/>
    <w:rsid w:val="002808ED"/>
    <w:rsid w:val="00281300"/>
    <w:rsid w:val="002821AF"/>
    <w:rsid w:val="002821D4"/>
    <w:rsid w:val="00283396"/>
    <w:rsid w:val="002849FB"/>
    <w:rsid w:val="0028604D"/>
    <w:rsid w:val="00287380"/>
    <w:rsid w:val="00291743"/>
    <w:rsid w:val="0029184C"/>
    <w:rsid w:val="00292789"/>
    <w:rsid w:val="00293FB2"/>
    <w:rsid w:val="002955DF"/>
    <w:rsid w:val="002962FF"/>
    <w:rsid w:val="002A013D"/>
    <w:rsid w:val="002A02A8"/>
    <w:rsid w:val="002A1588"/>
    <w:rsid w:val="002A1F08"/>
    <w:rsid w:val="002A4350"/>
    <w:rsid w:val="002A5FE9"/>
    <w:rsid w:val="002A711C"/>
    <w:rsid w:val="002B0EB5"/>
    <w:rsid w:val="002B11F7"/>
    <w:rsid w:val="002B149C"/>
    <w:rsid w:val="002B3DDF"/>
    <w:rsid w:val="002B4726"/>
    <w:rsid w:val="002B4D9B"/>
    <w:rsid w:val="002B5283"/>
    <w:rsid w:val="002B529B"/>
    <w:rsid w:val="002B75D7"/>
    <w:rsid w:val="002B7673"/>
    <w:rsid w:val="002C13D1"/>
    <w:rsid w:val="002C155E"/>
    <w:rsid w:val="002C2004"/>
    <w:rsid w:val="002C4750"/>
    <w:rsid w:val="002C522D"/>
    <w:rsid w:val="002C55AC"/>
    <w:rsid w:val="002C7DFD"/>
    <w:rsid w:val="002D3480"/>
    <w:rsid w:val="002D5FEC"/>
    <w:rsid w:val="002D7ECB"/>
    <w:rsid w:val="002E218F"/>
    <w:rsid w:val="002E7765"/>
    <w:rsid w:val="002E7AEC"/>
    <w:rsid w:val="002F0D90"/>
    <w:rsid w:val="002F3E5C"/>
    <w:rsid w:val="002F3F11"/>
    <w:rsid w:val="002F4AF6"/>
    <w:rsid w:val="002F5B1A"/>
    <w:rsid w:val="003016F6"/>
    <w:rsid w:val="00301DC2"/>
    <w:rsid w:val="00301EBE"/>
    <w:rsid w:val="00302C55"/>
    <w:rsid w:val="0030433B"/>
    <w:rsid w:val="00304FDC"/>
    <w:rsid w:val="003058C0"/>
    <w:rsid w:val="00305E5D"/>
    <w:rsid w:val="00306F0B"/>
    <w:rsid w:val="003101BA"/>
    <w:rsid w:val="00311FB3"/>
    <w:rsid w:val="0031216E"/>
    <w:rsid w:val="00312533"/>
    <w:rsid w:val="003141C2"/>
    <w:rsid w:val="00314C55"/>
    <w:rsid w:val="003153E8"/>
    <w:rsid w:val="00316876"/>
    <w:rsid w:val="003212BC"/>
    <w:rsid w:val="0032135E"/>
    <w:rsid w:val="00321A53"/>
    <w:rsid w:val="00321DFC"/>
    <w:rsid w:val="003230D2"/>
    <w:rsid w:val="003244DF"/>
    <w:rsid w:val="00324AC7"/>
    <w:rsid w:val="00324BD4"/>
    <w:rsid w:val="00325038"/>
    <w:rsid w:val="00326C2F"/>
    <w:rsid w:val="00331190"/>
    <w:rsid w:val="003322AA"/>
    <w:rsid w:val="00340A6E"/>
    <w:rsid w:val="00343163"/>
    <w:rsid w:val="0034554D"/>
    <w:rsid w:val="00345BB9"/>
    <w:rsid w:val="00347885"/>
    <w:rsid w:val="00350D43"/>
    <w:rsid w:val="00352BFC"/>
    <w:rsid w:val="00353753"/>
    <w:rsid w:val="003545FA"/>
    <w:rsid w:val="0036042F"/>
    <w:rsid w:val="00361659"/>
    <w:rsid w:val="0036274C"/>
    <w:rsid w:val="00364DAE"/>
    <w:rsid w:val="00365319"/>
    <w:rsid w:val="00365336"/>
    <w:rsid w:val="00366D48"/>
    <w:rsid w:val="00372192"/>
    <w:rsid w:val="003721EB"/>
    <w:rsid w:val="003725B9"/>
    <w:rsid w:val="00372FA5"/>
    <w:rsid w:val="003750B1"/>
    <w:rsid w:val="0037650F"/>
    <w:rsid w:val="0037695A"/>
    <w:rsid w:val="003806F7"/>
    <w:rsid w:val="00381E4C"/>
    <w:rsid w:val="00382B2B"/>
    <w:rsid w:val="003839F8"/>
    <w:rsid w:val="00385262"/>
    <w:rsid w:val="00385CD8"/>
    <w:rsid w:val="00387016"/>
    <w:rsid w:val="003906EE"/>
    <w:rsid w:val="00391AA8"/>
    <w:rsid w:val="003922ED"/>
    <w:rsid w:val="00392BC6"/>
    <w:rsid w:val="00392E9E"/>
    <w:rsid w:val="0039348D"/>
    <w:rsid w:val="00395EC3"/>
    <w:rsid w:val="00396832"/>
    <w:rsid w:val="00396D4C"/>
    <w:rsid w:val="003978AC"/>
    <w:rsid w:val="00397D98"/>
    <w:rsid w:val="003A0A3F"/>
    <w:rsid w:val="003A1B27"/>
    <w:rsid w:val="003A2C38"/>
    <w:rsid w:val="003A6568"/>
    <w:rsid w:val="003A6E2A"/>
    <w:rsid w:val="003B10F6"/>
    <w:rsid w:val="003B477B"/>
    <w:rsid w:val="003B4999"/>
    <w:rsid w:val="003B4EC5"/>
    <w:rsid w:val="003B6937"/>
    <w:rsid w:val="003B6F2C"/>
    <w:rsid w:val="003B7E62"/>
    <w:rsid w:val="003C0779"/>
    <w:rsid w:val="003C2176"/>
    <w:rsid w:val="003C3F13"/>
    <w:rsid w:val="003C41E5"/>
    <w:rsid w:val="003C53F8"/>
    <w:rsid w:val="003C584C"/>
    <w:rsid w:val="003D16A2"/>
    <w:rsid w:val="003D256E"/>
    <w:rsid w:val="003D37AC"/>
    <w:rsid w:val="003D3902"/>
    <w:rsid w:val="003D4AC3"/>
    <w:rsid w:val="003D6304"/>
    <w:rsid w:val="003D64D2"/>
    <w:rsid w:val="003D6C89"/>
    <w:rsid w:val="003D70A9"/>
    <w:rsid w:val="003D7C6E"/>
    <w:rsid w:val="003D7FDB"/>
    <w:rsid w:val="003E00A3"/>
    <w:rsid w:val="003E03D6"/>
    <w:rsid w:val="003E078B"/>
    <w:rsid w:val="003E2D71"/>
    <w:rsid w:val="003E416F"/>
    <w:rsid w:val="003E441C"/>
    <w:rsid w:val="003E6A20"/>
    <w:rsid w:val="003E7DD7"/>
    <w:rsid w:val="003F0461"/>
    <w:rsid w:val="003F21FF"/>
    <w:rsid w:val="003F3E16"/>
    <w:rsid w:val="003F448B"/>
    <w:rsid w:val="003F743D"/>
    <w:rsid w:val="003F77A5"/>
    <w:rsid w:val="00402FAD"/>
    <w:rsid w:val="00405188"/>
    <w:rsid w:val="004072A3"/>
    <w:rsid w:val="00411A4C"/>
    <w:rsid w:val="00411FCB"/>
    <w:rsid w:val="00414C21"/>
    <w:rsid w:val="0041502F"/>
    <w:rsid w:val="004159B0"/>
    <w:rsid w:val="004179EA"/>
    <w:rsid w:val="00420E59"/>
    <w:rsid w:val="00423533"/>
    <w:rsid w:val="004263B8"/>
    <w:rsid w:val="00427533"/>
    <w:rsid w:val="00431EE4"/>
    <w:rsid w:val="00432979"/>
    <w:rsid w:val="00432C0D"/>
    <w:rsid w:val="00433EF6"/>
    <w:rsid w:val="00436157"/>
    <w:rsid w:val="00437442"/>
    <w:rsid w:val="0044111F"/>
    <w:rsid w:val="004419BA"/>
    <w:rsid w:val="00443938"/>
    <w:rsid w:val="004449DD"/>
    <w:rsid w:val="004500BE"/>
    <w:rsid w:val="00450AE6"/>
    <w:rsid w:val="0045302A"/>
    <w:rsid w:val="0045511B"/>
    <w:rsid w:val="00457453"/>
    <w:rsid w:val="0046014C"/>
    <w:rsid w:val="004615BB"/>
    <w:rsid w:val="004621F8"/>
    <w:rsid w:val="0046250C"/>
    <w:rsid w:val="004627E2"/>
    <w:rsid w:val="00466B33"/>
    <w:rsid w:val="00474595"/>
    <w:rsid w:val="00475229"/>
    <w:rsid w:val="004756B5"/>
    <w:rsid w:val="0047621B"/>
    <w:rsid w:val="00477237"/>
    <w:rsid w:val="004772AF"/>
    <w:rsid w:val="00481E7E"/>
    <w:rsid w:val="00482557"/>
    <w:rsid w:val="0048302B"/>
    <w:rsid w:val="00490AF6"/>
    <w:rsid w:val="00491030"/>
    <w:rsid w:val="004930B0"/>
    <w:rsid w:val="0049573D"/>
    <w:rsid w:val="00496B8F"/>
    <w:rsid w:val="004A0579"/>
    <w:rsid w:val="004A10E3"/>
    <w:rsid w:val="004A2776"/>
    <w:rsid w:val="004A2EBF"/>
    <w:rsid w:val="004A4022"/>
    <w:rsid w:val="004A6A34"/>
    <w:rsid w:val="004A7D43"/>
    <w:rsid w:val="004A7F96"/>
    <w:rsid w:val="004B1169"/>
    <w:rsid w:val="004B1AE1"/>
    <w:rsid w:val="004B1D59"/>
    <w:rsid w:val="004B2B5D"/>
    <w:rsid w:val="004B4AAD"/>
    <w:rsid w:val="004B6B65"/>
    <w:rsid w:val="004B7A80"/>
    <w:rsid w:val="004C1445"/>
    <w:rsid w:val="004C238A"/>
    <w:rsid w:val="004C54DA"/>
    <w:rsid w:val="004C59BD"/>
    <w:rsid w:val="004C5B37"/>
    <w:rsid w:val="004C6217"/>
    <w:rsid w:val="004C6732"/>
    <w:rsid w:val="004D01E2"/>
    <w:rsid w:val="004D22E3"/>
    <w:rsid w:val="004D63E2"/>
    <w:rsid w:val="004D66EF"/>
    <w:rsid w:val="004D6B75"/>
    <w:rsid w:val="004D78FD"/>
    <w:rsid w:val="004E0080"/>
    <w:rsid w:val="004E1F3F"/>
    <w:rsid w:val="004E464F"/>
    <w:rsid w:val="004E48E9"/>
    <w:rsid w:val="004E49BE"/>
    <w:rsid w:val="004E4BBB"/>
    <w:rsid w:val="004E4C61"/>
    <w:rsid w:val="004E7A19"/>
    <w:rsid w:val="004F0274"/>
    <w:rsid w:val="004F141E"/>
    <w:rsid w:val="004F44BF"/>
    <w:rsid w:val="004F57D6"/>
    <w:rsid w:val="004F5B7E"/>
    <w:rsid w:val="004F7039"/>
    <w:rsid w:val="004F7785"/>
    <w:rsid w:val="004F77E1"/>
    <w:rsid w:val="004F7EE6"/>
    <w:rsid w:val="00501465"/>
    <w:rsid w:val="005026BE"/>
    <w:rsid w:val="00502793"/>
    <w:rsid w:val="005046D3"/>
    <w:rsid w:val="00505F28"/>
    <w:rsid w:val="00506B55"/>
    <w:rsid w:val="00507429"/>
    <w:rsid w:val="0050780A"/>
    <w:rsid w:val="005104CF"/>
    <w:rsid w:val="00510A38"/>
    <w:rsid w:val="00513272"/>
    <w:rsid w:val="00515352"/>
    <w:rsid w:val="005236FD"/>
    <w:rsid w:val="00524CF7"/>
    <w:rsid w:val="00530180"/>
    <w:rsid w:val="00530FDE"/>
    <w:rsid w:val="00532375"/>
    <w:rsid w:val="005323ED"/>
    <w:rsid w:val="005328B1"/>
    <w:rsid w:val="00535201"/>
    <w:rsid w:val="00536DF0"/>
    <w:rsid w:val="005370F7"/>
    <w:rsid w:val="00537367"/>
    <w:rsid w:val="005405FC"/>
    <w:rsid w:val="005444F3"/>
    <w:rsid w:val="00544E3E"/>
    <w:rsid w:val="00545D57"/>
    <w:rsid w:val="0054711A"/>
    <w:rsid w:val="00551540"/>
    <w:rsid w:val="005529F2"/>
    <w:rsid w:val="005536EE"/>
    <w:rsid w:val="00554A51"/>
    <w:rsid w:val="00556FAC"/>
    <w:rsid w:val="00557384"/>
    <w:rsid w:val="005576DF"/>
    <w:rsid w:val="005577D4"/>
    <w:rsid w:val="005601E3"/>
    <w:rsid w:val="00560942"/>
    <w:rsid w:val="00561E44"/>
    <w:rsid w:val="00562B14"/>
    <w:rsid w:val="00563F94"/>
    <w:rsid w:val="00565738"/>
    <w:rsid w:val="00567AA8"/>
    <w:rsid w:val="005700E8"/>
    <w:rsid w:val="005707FF"/>
    <w:rsid w:val="00572467"/>
    <w:rsid w:val="00572F12"/>
    <w:rsid w:val="00573D28"/>
    <w:rsid w:val="0057421F"/>
    <w:rsid w:val="00575819"/>
    <w:rsid w:val="0057622C"/>
    <w:rsid w:val="00576239"/>
    <w:rsid w:val="0057795D"/>
    <w:rsid w:val="00582FA8"/>
    <w:rsid w:val="0058413B"/>
    <w:rsid w:val="00585CE3"/>
    <w:rsid w:val="0058633A"/>
    <w:rsid w:val="00586E84"/>
    <w:rsid w:val="00590AB4"/>
    <w:rsid w:val="005911B3"/>
    <w:rsid w:val="00591D49"/>
    <w:rsid w:val="00592309"/>
    <w:rsid w:val="0059233C"/>
    <w:rsid w:val="0059736E"/>
    <w:rsid w:val="005A27F0"/>
    <w:rsid w:val="005A32C5"/>
    <w:rsid w:val="005A3E51"/>
    <w:rsid w:val="005A49CE"/>
    <w:rsid w:val="005A58A8"/>
    <w:rsid w:val="005A621E"/>
    <w:rsid w:val="005A62D5"/>
    <w:rsid w:val="005A6752"/>
    <w:rsid w:val="005A6C4A"/>
    <w:rsid w:val="005B0D83"/>
    <w:rsid w:val="005B1285"/>
    <w:rsid w:val="005B42BF"/>
    <w:rsid w:val="005B4BD8"/>
    <w:rsid w:val="005B5CCE"/>
    <w:rsid w:val="005B60CC"/>
    <w:rsid w:val="005B6585"/>
    <w:rsid w:val="005B7A80"/>
    <w:rsid w:val="005C0FE4"/>
    <w:rsid w:val="005C2197"/>
    <w:rsid w:val="005C31F9"/>
    <w:rsid w:val="005C3513"/>
    <w:rsid w:val="005C72F7"/>
    <w:rsid w:val="005D3F9F"/>
    <w:rsid w:val="005D5C5E"/>
    <w:rsid w:val="005D5E48"/>
    <w:rsid w:val="005D6655"/>
    <w:rsid w:val="005D76C4"/>
    <w:rsid w:val="005E25B6"/>
    <w:rsid w:val="005E3590"/>
    <w:rsid w:val="005E52A2"/>
    <w:rsid w:val="005E5C5C"/>
    <w:rsid w:val="005E67A4"/>
    <w:rsid w:val="005E7479"/>
    <w:rsid w:val="005E76A6"/>
    <w:rsid w:val="005F0BB1"/>
    <w:rsid w:val="005F163F"/>
    <w:rsid w:val="005F1D46"/>
    <w:rsid w:val="005F3B6D"/>
    <w:rsid w:val="005F4188"/>
    <w:rsid w:val="005F6326"/>
    <w:rsid w:val="005F73AD"/>
    <w:rsid w:val="00600B5E"/>
    <w:rsid w:val="00601547"/>
    <w:rsid w:val="00602088"/>
    <w:rsid w:val="00602C06"/>
    <w:rsid w:val="00605AD4"/>
    <w:rsid w:val="0060663B"/>
    <w:rsid w:val="0061189E"/>
    <w:rsid w:val="00611E21"/>
    <w:rsid w:val="00611F3D"/>
    <w:rsid w:val="0061234E"/>
    <w:rsid w:val="0061257B"/>
    <w:rsid w:val="006126DC"/>
    <w:rsid w:val="006139E5"/>
    <w:rsid w:val="0061669A"/>
    <w:rsid w:val="00616D33"/>
    <w:rsid w:val="006179C0"/>
    <w:rsid w:val="00617BD5"/>
    <w:rsid w:val="00620A52"/>
    <w:rsid w:val="006216E3"/>
    <w:rsid w:val="0062216F"/>
    <w:rsid w:val="0062378A"/>
    <w:rsid w:val="006266D3"/>
    <w:rsid w:val="00630215"/>
    <w:rsid w:val="00633D68"/>
    <w:rsid w:val="006342A2"/>
    <w:rsid w:val="00634CCA"/>
    <w:rsid w:val="00635776"/>
    <w:rsid w:val="0064270E"/>
    <w:rsid w:val="00642C85"/>
    <w:rsid w:val="0064317C"/>
    <w:rsid w:val="006434C6"/>
    <w:rsid w:val="00643FE5"/>
    <w:rsid w:val="00646B20"/>
    <w:rsid w:val="0065441B"/>
    <w:rsid w:val="00654B9D"/>
    <w:rsid w:val="006579CC"/>
    <w:rsid w:val="00657D06"/>
    <w:rsid w:val="00660945"/>
    <w:rsid w:val="006610A1"/>
    <w:rsid w:val="00661510"/>
    <w:rsid w:val="00663A87"/>
    <w:rsid w:val="00663D92"/>
    <w:rsid w:val="00664BDE"/>
    <w:rsid w:val="0066504B"/>
    <w:rsid w:val="006672F7"/>
    <w:rsid w:val="006674E1"/>
    <w:rsid w:val="0067165E"/>
    <w:rsid w:val="00672556"/>
    <w:rsid w:val="00672B5A"/>
    <w:rsid w:val="0067446D"/>
    <w:rsid w:val="0067580B"/>
    <w:rsid w:val="00677F43"/>
    <w:rsid w:val="00680271"/>
    <w:rsid w:val="006841B2"/>
    <w:rsid w:val="006852B4"/>
    <w:rsid w:val="00687506"/>
    <w:rsid w:val="00692652"/>
    <w:rsid w:val="00692ADC"/>
    <w:rsid w:val="00693A24"/>
    <w:rsid w:val="00694309"/>
    <w:rsid w:val="006949D6"/>
    <w:rsid w:val="0069530E"/>
    <w:rsid w:val="006953D0"/>
    <w:rsid w:val="00695410"/>
    <w:rsid w:val="00695471"/>
    <w:rsid w:val="00695C3E"/>
    <w:rsid w:val="00696071"/>
    <w:rsid w:val="00696626"/>
    <w:rsid w:val="0069727F"/>
    <w:rsid w:val="00697989"/>
    <w:rsid w:val="00697FE6"/>
    <w:rsid w:val="006A3975"/>
    <w:rsid w:val="006A3BBB"/>
    <w:rsid w:val="006A612F"/>
    <w:rsid w:val="006A6651"/>
    <w:rsid w:val="006B1894"/>
    <w:rsid w:val="006B5C6C"/>
    <w:rsid w:val="006B625C"/>
    <w:rsid w:val="006B6636"/>
    <w:rsid w:val="006C04FE"/>
    <w:rsid w:val="006C0B4B"/>
    <w:rsid w:val="006C170C"/>
    <w:rsid w:val="006C27BA"/>
    <w:rsid w:val="006C2F51"/>
    <w:rsid w:val="006C3793"/>
    <w:rsid w:val="006C5457"/>
    <w:rsid w:val="006C5514"/>
    <w:rsid w:val="006C5877"/>
    <w:rsid w:val="006C7B97"/>
    <w:rsid w:val="006D0F16"/>
    <w:rsid w:val="006D1498"/>
    <w:rsid w:val="006D2CBD"/>
    <w:rsid w:val="006D33F3"/>
    <w:rsid w:val="006D434B"/>
    <w:rsid w:val="006D4560"/>
    <w:rsid w:val="006D655B"/>
    <w:rsid w:val="006D65F5"/>
    <w:rsid w:val="006D6949"/>
    <w:rsid w:val="006D7CA8"/>
    <w:rsid w:val="006E26FB"/>
    <w:rsid w:val="006E39D9"/>
    <w:rsid w:val="006E5382"/>
    <w:rsid w:val="006E5D63"/>
    <w:rsid w:val="006F01BE"/>
    <w:rsid w:val="006F55CB"/>
    <w:rsid w:val="007001E5"/>
    <w:rsid w:val="007003D3"/>
    <w:rsid w:val="00700828"/>
    <w:rsid w:val="007008B0"/>
    <w:rsid w:val="00702B44"/>
    <w:rsid w:val="00702DCC"/>
    <w:rsid w:val="00703027"/>
    <w:rsid w:val="00705923"/>
    <w:rsid w:val="00705C10"/>
    <w:rsid w:val="00706286"/>
    <w:rsid w:val="007067BC"/>
    <w:rsid w:val="00706EC7"/>
    <w:rsid w:val="007075B6"/>
    <w:rsid w:val="007079AA"/>
    <w:rsid w:val="00707F89"/>
    <w:rsid w:val="0071486F"/>
    <w:rsid w:val="00715A62"/>
    <w:rsid w:val="00716E03"/>
    <w:rsid w:val="00717840"/>
    <w:rsid w:val="00717C29"/>
    <w:rsid w:val="007203FE"/>
    <w:rsid w:val="00722E46"/>
    <w:rsid w:val="0072402F"/>
    <w:rsid w:val="00724342"/>
    <w:rsid w:val="0072506D"/>
    <w:rsid w:val="00730139"/>
    <w:rsid w:val="00731A91"/>
    <w:rsid w:val="00732969"/>
    <w:rsid w:val="00732E28"/>
    <w:rsid w:val="0073367E"/>
    <w:rsid w:val="00735235"/>
    <w:rsid w:val="0073562F"/>
    <w:rsid w:val="00736139"/>
    <w:rsid w:val="00736B79"/>
    <w:rsid w:val="007435FC"/>
    <w:rsid w:val="00744D6B"/>
    <w:rsid w:val="007464E0"/>
    <w:rsid w:val="00747603"/>
    <w:rsid w:val="00747DB1"/>
    <w:rsid w:val="00751ADC"/>
    <w:rsid w:val="00753614"/>
    <w:rsid w:val="00753940"/>
    <w:rsid w:val="0075603C"/>
    <w:rsid w:val="00760C25"/>
    <w:rsid w:val="0076375B"/>
    <w:rsid w:val="00765FED"/>
    <w:rsid w:val="007700C3"/>
    <w:rsid w:val="007706B3"/>
    <w:rsid w:val="00772A43"/>
    <w:rsid w:val="00773428"/>
    <w:rsid w:val="00773753"/>
    <w:rsid w:val="0077433E"/>
    <w:rsid w:val="00777C3E"/>
    <w:rsid w:val="0078142D"/>
    <w:rsid w:val="007820F3"/>
    <w:rsid w:val="00784A06"/>
    <w:rsid w:val="00785323"/>
    <w:rsid w:val="007865C4"/>
    <w:rsid w:val="00786EEB"/>
    <w:rsid w:val="0078738C"/>
    <w:rsid w:val="00790BF0"/>
    <w:rsid w:val="00790CA1"/>
    <w:rsid w:val="0079134E"/>
    <w:rsid w:val="00792248"/>
    <w:rsid w:val="007933ED"/>
    <w:rsid w:val="00793D47"/>
    <w:rsid w:val="0079435F"/>
    <w:rsid w:val="00796F4B"/>
    <w:rsid w:val="007972C0"/>
    <w:rsid w:val="00797434"/>
    <w:rsid w:val="00797716"/>
    <w:rsid w:val="007A00AD"/>
    <w:rsid w:val="007A04A8"/>
    <w:rsid w:val="007A10A1"/>
    <w:rsid w:val="007A1A00"/>
    <w:rsid w:val="007A35CD"/>
    <w:rsid w:val="007A4132"/>
    <w:rsid w:val="007A63AD"/>
    <w:rsid w:val="007B0435"/>
    <w:rsid w:val="007B174B"/>
    <w:rsid w:val="007B1EC7"/>
    <w:rsid w:val="007B2049"/>
    <w:rsid w:val="007B3843"/>
    <w:rsid w:val="007B4EDD"/>
    <w:rsid w:val="007B5F2E"/>
    <w:rsid w:val="007C0A6B"/>
    <w:rsid w:val="007C0E6A"/>
    <w:rsid w:val="007C1527"/>
    <w:rsid w:val="007C163A"/>
    <w:rsid w:val="007C3BA0"/>
    <w:rsid w:val="007C404A"/>
    <w:rsid w:val="007C71AD"/>
    <w:rsid w:val="007C7488"/>
    <w:rsid w:val="007C7631"/>
    <w:rsid w:val="007D034A"/>
    <w:rsid w:val="007D0AA4"/>
    <w:rsid w:val="007D1007"/>
    <w:rsid w:val="007D26A7"/>
    <w:rsid w:val="007D2853"/>
    <w:rsid w:val="007D41AB"/>
    <w:rsid w:val="007D4DD4"/>
    <w:rsid w:val="007D515D"/>
    <w:rsid w:val="007D62F3"/>
    <w:rsid w:val="007D7235"/>
    <w:rsid w:val="007D78ED"/>
    <w:rsid w:val="007E12BA"/>
    <w:rsid w:val="007E1EC7"/>
    <w:rsid w:val="007E259F"/>
    <w:rsid w:val="007E2E02"/>
    <w:rsid w:val="007E4007"/>
    <w:rsid w:val="007E6200"/>
    <w:rsid w:val="007F1B0C"/>
    <w:rsid w:val="007F2C98"/>
    <w:rsid w:val="007F31C2"/>
    <w:rsid w:val="007F3915"/>
    <w:rsid w:val="007F514F"/>
    <w:rsid w:val="007F5818"/>
    <w:rsid w:val="007F5960"/>
    <w:rsid w:val="007F642D"/>
    <w:rsid w:val="00803139"/>
    <w:rsid w:val="0080546C"/>
    <w:rsid w:val="00806277"/>
    <w:rsid w:val="00806FD9"/>
    <w:rsid w:val="0081067A"/>
    <w:rsid w:val="00811098"/>
    <w:rsid w:val="00812E19"/>
    <w:rsid w:val="00813C5E"/>
    <w:rsid w:val="00815518"/>
    <w:rsid w:val="00815EFA"/>
    <w:rsid w:val="00820320"/>
    <w:rsid w:val="00820C41"/>
    <w:rsid w:val="00821309"/>
    <w:rsid w:val="00823CFC"/>
    <w:rsid w:val="008243C9"/>
    <w:rsid w:val="00826807"/>
    <w:rsid w:val="00826C48"/>
    <w:rsid w:val="00826DF5"/>
    <w:rsid w:val="008300EE"/>
    <w:rsid w:val="00830D8C"/>
    <w:rsid w:val="008311B6"/>
    <w:rsid w:val="00832454"/>
    <w:rsid w:val="008325C0"/>
    <w:rsid w:val="00833498"/>
    <w:rsid w:val="0083393C"/>
    <w:rsid w:val="008357DB"/>
    <w:rsid w:val="00837225"/>
    <w:rsid w:val="00837F0D"/>
    <w:rsid w:val="00840B19"/>
    <w:rsid w:val="00841BAC"/>
    <w:rsid w:val="008474B2"/>
    <w:rsid w:val="00853247"/>
    <w:rsid w:val="00854AF7"/>
    <w:rsid w:val="0085635C"/>
    <w:rsid w:val="00856689"/>
    <w:rsid w:val="00861351"/>
    <w:rsid w:val="008638FB"/>
    <w:rsid w:val="00864765"/>
    <w:rsid w:val="008666D3"/>
    <w:rsid w:val="008728CB"/>
    <w:rsid w:val="008774EE"/>
    <w:rsid w:val="00877DBD"/>
    <w:rsid w:val="008802E2"/>
    <w:rsid w:val="008824BE"/>
    <w:rsid w:val="00882774"/>
    <w:rsid w:val="00883C2B"/>
    <w:rsid w:val="008849A3"/>
    <w:rsid w:val="008867D9"/>
    <w:rsid w:val="008879BD"/>
    <w:rsid w:val="00890B23"/>
    <w:rsid w:val="00891890"/>
    <w:rsid w:val="00891CAF"/>
    <w:rsid w:val="00891D5C"/>
    <w:rsid w:val="008929F2"/>
    <w:rsid w:val="0089335A"/>
    <w:rsid w:val="008934A6"/>
    <w:rsid w:val="008952F6"/>
    <w:rsid w:val="008969F1"/>
    <w:rsid w:val="008A10FD"/>
    <w:rsid w:val="008A2165"/>
    <w:rsid w:val="008A2BF2"/>
    <w:rsid w:val="008A33BA"/>
    <w:rsid w:val="008A3900"/>
    <w:rsid w:val="008A397A"/>
    <w:rsid w:val="008A47CF"/>
    <w:rsid w:val="008A4EDA"/>
    <w:rsid w:val="008A4F13"/>
    <w:rsid w:val="008A6408"/>
    <w:rsid w:val="008A69E3"/>
    <w:rsid w:val="008B13C0"/>
    <w:rsid w:val="008B2785"/>
    <w:rsid w:val="008B2E24"/>
    <w:rsid w:val="008B3348"/>
    <w:rsid w:val="008B396C"/>
    <w:rsid w:val="008B4804"/>
    <w:rsid w:val="008B6FB0"/>
    <w:rsid w:val="008B7502"/>
    <w:rsid w:val="008C0D12"/>
    <w:rsid w:val="008C0E63"/>
    <w:rsid w:val="008C131D"/>
    <w:rsid w:val="008C4248"/>
    <w:rsid w:val="008C4DAE"/>
    <w:rsid w:val="008D09CD"/>
    <w:rsid w:val="008D0B9F"/>
    <w:rsid w:val="008D18F8"/>
    <w:rsid w:val="008D1BD7"/>
    <w:rsid w:val="008D20E8"/>
    <w:rsid w:val="008D2976"/>
    <w:rsid w:val="008D29AD"/>
    <w:rsid w:val="008D3995"/>
    <w:rsid w:val="008D42C7"/>
    <w:rsid w:val="008D468D"/>
    <w:rsid w:val="008D6701"/>
    <w:rsid w:val="008D6AE9"/>
    <w:rsid w:val="008E1191"/>
    <w:rsid w:val="008E546A"/>
    <w:rsid w:val="008E62B6"/>
    <w:rsid w:val="008E7958"/>
    <w:rsid w:val="008E7CBE"/>
    <w:rsid w:val="008F300F"/>
    <w:rsid w:val="008F3869"/>
    <w:rsid w:val="008F409A"/>
    <w:rsid w:val="008F442E"/>
    <w:rsid w:val="008F46E7"/>
    <w:rsid w:val="008F485C"/>
    <w:rsid w:val="008F628E"/>
    <w:rsid w:val="008F69E8"/>
    <w:rsid w:val="00902B46"/>
    <w:rsid w:val="00903C3F"/>
    <w:rsid w:val="00905B2F"/>
    <w:rsid w:val="00910958"/>
    <w:rsid w:val="00910AEC"/>
    <w:rsid w:val="0091355D"/>
    <w:rsid w:val="00913AB7"/>
    <w:rsid w:val="0091415F"/>
    <w:rsid w:val="009147CA"/>
    <w:rsid w:val="0091490D"/>
    <w:rsid w:val="0091567C"/>
    <w:rsid w:val="009162BC"/>
    <w:rsid w:val="0092322E"/>
    <w:rsid w:val="00927825"/>
    <w:rsid w:val="00931AC5"/>
    <w:rsid w:val="00932C57"/>
    <w:rsid w:val="0093304A"/>
    <w:rsid w:val="0093499D"/>
    <w:rsid w:val="00936C12"/>
    <w:rsid w:val="00941942"/>
    <w:rsid w:val="00944730"/>
    <w:rsid w:val="00945C98"/>
    <w:rsid w:val="00946347"/>
    <w:rsid w:val="00946681"/>
    <w:rsid w:val="009509CF"/>
    <w:rsid w:val="009517FC"/>
    <w:rsid w:val="00952C56"/>
    <w:rsid w:val="00953966"/>
    <w:rsid w:val="00953BE2"/>
    <w:rsid w:val="009543AB"/>
    <w:rsid w:val="0095469F"/>
    <w:rsid w:val="00962645"/>
    <w:rsid w:val="0096540C"/>
    <w:rsid w:val="009654FA"/>
    <w:rsid w:val="00967B0A"/>
    <w:rsid w:val="00967DB4"/>
    <w:rsid w:val="009706CA"/>
    <w:rsid w:val="00970CA1"/>
    <w:rsid w:val="00970D83"/>
    <w:rsid w:val="0097203F"/>
    <w:rsid w:val="00977F86"/>
    <w:rsid w:val="00980511"/>
    <w:rsid w:val="00980A2A"/>
    <w:rsid w:val="0098245D"/>
    <w:rsid w:val="0098346C"/>
    <w:rsid w:val="00983B1D"/>
    <w:rsid w:val="00986442"/>
    <w:rsid w:val="00987D87"/>
    <w:rsid w:val="00987ECA"/>
    <w:rsid w:val="00990011"/>
    <w:rsid w:val="0099186D"/>
    <w:rsid w:val="00993F8D"/>
    <w:rsid w:val="00994CCF"/>
    <w:rsid w:val="009A2BC4"/>
    <w:rsid w:val="009A3AD3"/>
    <w:rsid w:val="009A4FEA"/>
    <w:rsid w:val="009A557D"/>
    <w:rsid w:val="009A7EE6"/>
    <w:rsid w:val="009B6B05"/>
    <w:rsid w:val="009B6E49"/>
    <w:rsid w:val="009B71B1"/>
    <w:rsid w:val="009B7E73"/>
    <w:rsid w:val="009C03B6"/>
    <w:rsid w:val="009C0870"/>
    <w:rsid w:val="009C174B"/>
    <w:rsid w:val="009C20ED"/>
    <w:rsid w:val="009C2567"/>
    <w:rsid w:val="009C275C"/>
    <w:rsid w:val="009C4C0C"/>
    <w:rsid w:val="009C4C31"/>
    <w:rsid w:val="009C553F"/>
    <w:rsid w:val="009C60A1"/>
    <w:rsid w:val="009C7D1B"/>
    <w:rsid w:val="009D0C1B"/>
    <w:rsid w:val="009D11EF"/>
    <w:rsid w:val="009D1B99"/>
    <w:rsid w:val="009D343D"/>
    <w:rsid w:val="009D3781"/>
    <w:rsid w:val="009D3ED5"/>
    <w:rsid w:val="009D3FE9"/>
    <w:rsid w:val="009D6085"/>
    <w:rsid w:val="009D6EFD"/>
    <w:rsid w:val="009D7E40"/>
    <w:rsid w:val="009E0214"/>
    <w:rsid w:val="009E0A89"/>
    <w:rsid w:val="009E389C"/>
    <w:rsid w:val="009E462B"/>
    <w:rsid w:val="009E5785"/>
    <w:rsid w:val="009E5948"/>
    <w:rsid w:val="009E788B"/>
    <w:rsid w:val="009E7B86"/>
    <w:rsid w:val="009E7ED9"/>
    <w:rsid w:val="009F0FE7"/>
    <w:rsid w:val="009F15E0"/>
    <w:rsid w:val="009F1CED"/>
    <w:rsid w:val="009F26E9"/>
    <w:rsid w:val="009F2D74"/>
    <w:rsid w:val="009F3B37"/>
    <w:rsid w:val="009F537D"/>
    <w:rsid w:val="009F5EA8"/>
    <w:rsid w:val="009F6B25"/>
    <w:rsid w:val="00A00DC7"/>
    <w:rsid w:val="00A017FE"/>
    <w:rsid w:val="00A046F0"/>
    <w:rsid w:val="00A05272"/>
    <w:rsid w:val="00A057E0"/>
    <w:rsid w:val="00A063BA"/>
    <w:rsid w:val="00A13177"/>
    <w:rsid w:val="00A134AC"/>
    <w:rsid w:val="00A14AB8"/>
    <w:rsid w:val="00A14CD0"/>
    <w:rsid w:val="00A1583C"/>
    <w:rsid w:val="00A16CBB"/>
    <w:rsid w:val="00A1776E"/>
    <w:rsid w:val="00A2127C"/>
    <w:rsid w:val="00A27585"/>
    <w:rsid w:val="00A331C6"/>
    <w:rsid w:val="00A346DE"/>
    <w:rsid w:val="00A360E6"/>
    <w:rsid w:val="00A36427"/>
    <w:rsid w:val="00A36A72"/>
    <w:rsid w:val="00A36F7C"/>
    <w:rsid w:val="00A37A13"/>
    <w:rsid w:val="00A456F1"/>
    <w:rsid w:val="00A45886"/>
    <w:rsid w:val="00A50C7B"/>
    <w:rsid w:val="00A50D9A"/>
    <w:rsid w:val="00A52F61"/>
    <w:rsid w:val="00A5407A"/>
    <w:rsid w:val="00A545E2"/>
    <w:rsid w:val="00A55C6A"/>
    <w:rsid w:val="00A56D17"/>
    <w:rsid w:val="00A66142"/>
    <w:rsid w:val="00A662FE"/>
    <w:rsid w:val="00A67323"/>
    <w:rsid w:val="00A70DB8"/>
    <w:rsid w:val="00A711CB"/>
    <w:rsid w:val="00A734EB"/>
    <w:rsid w:val="00A74052"/>
    <w:rsid w:val="00A80306"/>
    <w:rsid w:val="00A810AD"/>
    <w:rsid w:val="00A81688"/>
    <w:rsid w:val="00A821ED"/>
    <w:rsid w:val="00A82347"/>
    <w:rsid w:val="00A83387"/>
    <w:rsid w:val="00A83D3A"/>
    <w:rsid w:val="00A84EA8"/>
    <w:rsid w:val="00A86514"/>
    <w:rsid w:val="00A86CC2"/>
    <w:rsid w:val="00A912F0"/>
    <w:rsid w:val="00A926BD"/>
    <w:rsid w:val="00A92A9C"/>
    <w:rsid w:val="00A92E84"/>
    <w:rsid w:val="00A93E54"/>
    <w:rsid w:val="00A95D3F"/>
    <w:rsid w:val="00A963F3"/>
    <w:rsid w:val="00A97104"/>
    <w:rsid w:val="00AA0E63"/>
    <w:rsid w:val="00AA52D5"/>
    <w:rsid w:val="00AA5B87"/>
    <w:rsid w:val="00AA7292"/>
    <w:rsid w:val="00AA7751"/>
    <w:rsid w:val="00AB0838"/>
    <w:rsid w:val="00AB15DA"/>
    <w:rsid w:val="00AB4052"/>
    <w:rsid w:val="00AB58D1"/>
    <w:rsid w:val="00AB5D2D"/>
    <w:rsid w:val="00AB61CD"/>
    <w:rsid w:val="00AC0A03"/>
    <w:rsid w:val="00AC1B43"/>
    <w:rsid w:val="00AC1D44"/>
    <w:rsid w:val="00AC2F71"/>
    <w:rsid w:val="00AC4047"/>
    <w:rsid w:val="00AC4A43"/>
    <w:rsid w:val="00AC721C"/>
    <w:rsid w:val="00AD1C3A"/>
    <w:rsid w:val="00AD3966"/>
    <w:rsid w:val="00AD3ECA"/>
    <w:rsid w:val="00AD4677"/>
    <w:rsid w:val="00AD5054"/>
    <w:rsid w:val="00AE3542"/>
    <w:rsid w:val="00AE5899"/>
    <w:rsid w:val="00AE718B"/>
    <w:rsid w:val="00AE73DC"/>
    <w:rsid w:val="00AF0666"/>
    <w:rsid w:val="00AF13D5"/>
    <w:rsid w:val="00AF178E"/>
    <w:rsid w:val="00AF2035"/>
    <w:rsid w:val="00AF3F68"/>
    <w:rsid w:val="00AF62A5"/>
    <w:rsid w:val="00AF66E1"/>
    <w:rsid w:val="00AF7008"/>
    <w:rsid w:val="00AF751B"/>
    <w:rsid w:val="00B0059D"/>
    <w:rsid w:val="00B01133"/>
    <w:rsid w:val="00B019CD"/>
    <w:rsid w:val="00B0434C"/>
    <w:rsid w:val="00B04E32"/>
    <w:rsid w:val="00B04F03"/>
    <w:rsid w:val="00B055C3"/>
    <w:rsid w:val="00B0767E"/>
    <w:rsid w:val="00B07AEB"/>
    <w:rsid w:val="00B07EFF"/>
    <w:rsid w:val="00B11BB0"/>
    <w:rsid w:val="00B11EE9"/>
    <w:rsid w:val="00B12AE8"/>
    <w:rsid w:val="00B13A4B"/>
    <w:rsid w:val="00B14755"/>
    <w:rsid w:val="00B14F53"/>
    <w:rsid w:val="00B15363"/>
    <w:rsid w:val="00B1729E"/>
    <w:rsid w:val="00B17FF3"/>
    <w:rsid w:val="00B20004"/>
    <w:rsid w:val="00B251D2"/>
    <w:rsid w:val="00B25881"/>
    <w:rsid w:val="00B2679D"/>
    <w:rsid w:val="00B30CF2"/>
    <w:rsid w:val="00B31265"/>
    <w:rsid w:val="00B313C7"/>
    <w:rsid w:val="00B3170C"/>
    <w:rsid w:val="00B33474"/>
    <w:rsid w:val="00B341C9"/>
    <w:rsid w:val="00B36031"/>
    <w:rsid w:val="00B36148"/>
    <w:rsid w:val="00B368B1"/>
    <w:rsid w:val="00B37594"/>
    <w:rsid w:val="00B377FD"/>
    <w:rsid w:val="00B37C79"/>
    <w:rsid w:val="00B41B05"/>
    <w:rsid w:val="00B41DB2"/>
    <w:rsid w:val="00B4210E"/>
    <w:rsid w:val="00B42C55"/>
    <w:rsid w:val="00B432C8"/>
    <w:rsid w:val="00B44BC7"/>
    <w:rsid w:val="00B44CAC"/>
    <w:rsid w:val="00B45976"/>
    <w:rsid w:val="00B46C46"/>
    <w:rsid w:val="00B5268C"/>
    <w:rsid w:val="00B556E2"/>
    <w:rsid w:val="00B622E1"/>
    <w:rsid w:val="00B6286D"/>
    <w:rsid w:val="00B62E9F"/>
    <w:rsid w:val="00B63C55"/>
    <w:rsid w:val="00B6524F"/>
    <w:rsid w:val="00B6654E"/>
    <w:rsid w:val="00B6687E"/>
    <w:rsid w:val="00B67E38"/>
    <w:rsid w:val="00B70847"/>
    <w:rsid w:val="00B71D22"/>
    <w:rsid w:val="00B7269A"/>
    <w:rsid w:val="00B743FD"/>
    <w:rsid w:val="00B769A8"/>
    <w:rsid w:val="00B77B63"/>
    <w:rsid w:val="00B85F99"/>
    <w:rsid w:val="00B8795E"/>
    <w:rsid w:val="00B91CB2"/>
    <w:rsid w:val="00B91F5D"/>
    <w:rsid w:val="00B932CE"/>
    <w:rsid w:val="00B93321"/>
    <w:rsid w:val="00B9464A"/>
    <w:rsid w:val="00B96C93"/>
    <w:rsid w:val="00B96FBE"/>
    <w:rsid w:val="00BA4D61"/>
    <w:rsid w:val="00BA4F68"/>
    <w:rsid w:val="00BA4FA0"/>
    <w:rsid w:val="00BB18F1"/>
    <w:rsid w:val="00BB1F45"/>
    <w:rsid w:val="00BB2108"/>
    <w:rsid w:val="00BB26C2"/>
    <w:rsid w:val="00BB4B51"/>
    <w:rsid w:val="00BB59A6"/>
    <w:rsid w:val="00BB6CF7"/>
    <w:rsid w:val="00BB6D0E"/>
    <w:rsid w:val="00BB75FE"/>
    <w:rsid w:val="00BC0D77"/>
    <w:rsid w:val="00BC4BDA"/>
    <w:rsid w:val="00BC53F6"/>
    <w:rsid w:val="00BC58D0"/>
    <w:rsid w:val="00BC7BCA"/>
    <w:rsid w:val="00BD3358"/>
    <w:rsid w:val="00BD33D8"/>
    <w:rsid w:val="00BD3D18"/>
    <w:rsid w:val="00BD4B61"/>
    <w:rsid w:val="00BD4F47"/>
    <w:rsid w:val="00BD6F3C"/>
    <w:rsid w:val="00BE237A"/>
    <w:rsid w:val="00BE2706"/>
    <w:rsid w:val="00BE2972"/>
    <w:rsid w:val="00BE42A3"/>
    <w:rsid w:val="00BE4862"/>
    <w:rsid w:val="00BE5AD7"/>
    <w:rsid w:val="00BE7EF7"/>
    <w:rsid w:val="00BF055C"/>
    <w:rsid w:val="00BF1505"/>
    <w:rsid w:val="00BF1CDB"/>
    <w:rsid w:val="00BF1D4D"/>
    <w:rsid w:val="00BF274C"/>
    <w:rsid w:val="00BF31B5"/>
    <w:rsid w:val="00BF3DEA"/>
    <w:rsid w:val="00BF4BCB"/>
    <w:rsid w:val="00BF5B1C"/>
    <w:rsid w:val="00BF73FF"/>
    <w:rsid w:val="00C011A6"/>
    <w:rsid w:val="00C01AE5"/>
    <w:rsid w:val="00C021A6"/>
    <w:rsid w:val="00C037DC"/>
    <w:rsid w:val="00C04295"/>
    <w:rsid w:val="00C076A9"/>
    <w:rsid w:val="00C077D9"/>
    <w:rsid w:val="00C07812"/>
    <w:rsid w:val="00C10BC1"/>
    <w:rsid w:val="00C111E0"/>
    <w:rsid w:val="00C11A39"/>
    <w:rsid w:val="00C12D0D"/>
    <w:rsid w:val="00C1449E"/>
    <w:rsid w:val="00C15B67"/>
    <w:rsid w:val="00C17ED2"/>
    <w:rsid w:val="00C22126"/>
    <w:rsid w:val="00C24C33"/>
    <w:rsid w:val="00C25BEF"/>
    <w:rsid w:val="00C26564"/>
    <w:rsid w:val="00C31153"/>
    <w:rsid w:val="00C33D82"/>
    <w:rsid w:val="00C34896"/>
    <w:rsid w:val="00C35098"/>
    <w:rsid w:val="00C37450"/>
    <w:rsid w:val="00C4352C"/>
    <w:rsid w:val="00C46EE7"/>
    <w:rsid w:val="00C475D5"/>
    <w:rsid w:val="00C4799A"/>
    <w:rsid w:val="00C511EF"/>
    <w:rsid w:val="00C5122C"/>
    <w:rsid w:val="00C518C5"/>
    <w:rsid w:val="00C53527"/>
    <w:rsid w:val="00C5449F"/>
    <w:rsid w:val="00C557D2"/>
    <w:rsid w:val="00C56719"/>
    <w:rsid w:val="00C62432"/>
    <w:rsid w:val="00C6354F"/>
    <w:rsid w:val="00C639AF"/>
    <w:rsid w:val="00C643AB"/>
    <w:rsid w:val="00C663DB"/>
    <w:rsid w:val="00C67507"/>
    <w:rsid w:val="00C67D08"/>
    <w:rsid w:val="00C700DD"/>
    <w:rsid w:val="00C73206"/>
    <w:rsid w:val="00C738BE"/>
    <w:rsid w:val="00C745D8"/>
    <w:rsid w:val="00C75057"/>
    <w:rsid w:val="00C767FC"/>
    <w:rsid w:val="00C768EE"/>
    <w:rsid w:val="00C80330"/>
    <w:rsid w:val="00C80C02"/>
    <w:rsid w:val="00C80C67"/>
    <w:rsid w:val="00C8213D"/>
    <w:rsid w:val="00C845AE"/>
    <w:rsid w:val="00C850E2"/>
    <w:rsid w:val="00C86B36"/>
    <w:rsid w:val="00C90CB7"/>
    <w:rsid w:val="00C952BD"/>
    <w:rsid w:val="00C954F3"/>
    <w:rsid w:val="00C9554E"/>
    <w:rsid w:val="00C95C27"/>
    <w:rsid w:val="00C966D8"/>
    <w:rsid w:val="00C978A9"/>
    <w:rsid w:val="00CA0731"/>
    <w:rsid w:val="00CA0807"/>
    <w:rsid w:val="00CA0E3F"/>
    <w:rsid w:val="00CA11E4"/>
    <w:rsid w:val="00CA6A99"/>
    <w:rsid w:val="00CA6C59"/>
    <w:rsid w:val="00CA6EA1"/>
    <w:rsid w:val="00CB379A"/>
    <w:rsid w:val="00CB4409"/>
    <w:rsid w:val="00CB59B5"/>
    <w:rsid w:val="00CB6EC6"/>
    <w:rsid w:val="00CB7259"/>
    <w:rsid w:val="00CC002A"/>
    <w:rsid w:val="00CC0BDA"/>
    <w:rsid w:val="00CC494D"/>
    <w:rsid w:val="00CC4F7C"/>
    <w:rsid w:val="00CC53BE"/>
    <w:rsid w:val="00CC6CA9"/>
    <w:rsid w:val="00CD2235"/>
    <w:rsid w:val="00CD42F4"/>
    <w:rsid w:val="00CD45D1"/>
    <w:rsid w:val="00CD5954"/>
    <w:rsid w:val="00CE1447"/>
    <w:rsid w:val="00CE1E19"/>
    <w:rsid w:val="00CE1E3E"/>
    <w:rsid w:val="00CE3CF3"/>
    <w:rsid w:val="00CE4D46"/>
    <w:rsid w:val="00CE5B0A"/>
    <w:rsid w:val="00CE6D61"/>
    <w:rsid w:val="00CE75F8"/>
    <w:rsid w:val="00CF2D28"/>
    <w:rsid w:val="00CF57C8"/>
    <w:rsid w:val="00CF659D"/>
    <w:rsid w:val="00CF6F35"/>
    <w:rsid w:val="00CF759B"/>
    <w:rsid w:val="00D00570"/>
    <w:rsid w:val="00D0425D"/>
    <w:rsid w:val="00D0461F"/>
    <w:rsid w:val="00D0555F"/>
    <w:rsid w:val="00D11C17"/>
    <w:rsid w:val="00D12C6A"/>
    <w:rsid w:val="00D13416"/>
    <w:rsid w:val="00D168C4"/>
    <w:rsid w:val="00D16B61"/>
    <w:rsid w:val="00D17979"/>
    <w:rsid w:val="00D17E6A"/>
    <w:rsid w:val="00D20A81"/>
    <w:rsid w:val="00D2141E"/>
    <w:rsid w:val="00D21BA5"/>
    <w:rsid w:val="00D25E8D"/>
    <w:rsid w:val="00D268DC"/>
    <w:rsid w:val="00D3279A"/>
    <w:rsid w:val="00D37AE8"/>
    <w:rsid w:val="00D40BBD"/>
    <w:rsid w:val="00D449D9"/>
    <w:rsid w:val="00D45E36"/>
    <w:rsid w:val="00D476D7"/>
    <w:rsid w:val="00D47F20"/>
    <w:rsid w:val="00D50615"/>
    <w:rsid w:val="00D50F71"/>
    <w:rsid w:val="00D5380F"/>
    <w:rsid w:val="00D540E1"/>
    <w:rsid w:val="00D55BF4"/>
    <w:rsid w:val="00D55EDB"/>
    <w:rsid w:val="00D60FA7"/>
    <w:rsid w:val="00D61022"/>
    <w:rsid w:val="00D6145F"/>
    <w:rsid w:val="00D6221C"/>
    <w:rsid w:val="00D62D83"/>
    <w:rsid w:val="00D63D4E"/>
    <w:rsid w:val="00D64C7B"/>
    <w:rsid w:val="00D65627"/>
    <w:rsid w:val="00D65963"/>
    <w:rsid w:val="00D66CD2"/>
    <w:rsid w:val="00D66DEF"/>
    <w:rsid w:val="00D71514"/>
    <w:rsid w:val="00D7253F"/>
    <w:rsid w:val="00D72D60"/>
    <w:rsid w:val="00D74580"/>
    <w:rsid w:val="00D77553"/>
    <w:rsid w:val="00D812AA"/>
    <w:rsid w:val="00D827DC"/>
    <w:rsid w:val="00D82A07"/>
    <w:rsid w:val="00D83234"/>
    <w:rsid w:val="00D83235"/>
    <w:rsid w:val="00D838DA"/>
    <w:rsid w:val="00D83A64"/>
    <w:rsid w:val="00D905BE"/>
    <w:rsid w:val="00D90722"/>
    <w:rsid w:val="00D90B5C"/>
    <w:rsid w:val="00D90EE4"/>
    <w:rsid w:val="00D911A8"/>
    <w:rsid w:val="00D913D8"/>
    <w:rsid w:val="00D91D0B"/>
    <w:rsid w:val="00D92028"/>
    <w:rsid w:val="00D93DDB"/>
    <w:rsid w:val="00D94F63"/>
    <w:rsid w:val="00D95490"/>
    <w:rsid w:val="00D95E88"/>
    <w:rsid w:val="00D97B45"/>
    <w:rsid w:val="00DA0239"/>
    <w:rsid w:val="00DA097B"/>
    <w:rsid w:val="00DA2656"/>
    <w:rsid w:val="00DA4631"/>
    <w:rsid w:val="00DA46EC"/>
    <w:rsid w:val="00DA68F5"/>
    <w:rsid w:val="00DA7B12"/>
    <w:rsid w:val="00DB0403"/>
    <w:rsid w:val="00DB06B5"/>
    <w:rsid w:val="00DB1689"/>
    <w:rsid w:val="00DB1980"/>
    <w:rsid w:val="00DB3781"/>
    <w:rsid w:val="00DB43E8"/>
    <w:rsid w:val="00DC05CA"/>
    <w:rsid w:val="00DC0805"/>
    <w:rsid w:val="00DC0CC5"/>
    <w:rsid w:val="00DC15CD"/>
    <w:rsid w:val="00DC1847"/>
    <w:rsid w:val="00DC24B2"/>
    <w:rsid w:val="00DC27EB"/>
    <w:rsid w:val="00DC3EE3"/>
    <w:rsid w:val="00DC64BF"/>
    <w:rsid w:val="00DC6686"/>
    <w:rsid w:val="00DC7679"/>
    <w:rsid w:val="00DC76D5"/>
    <w:rsid w:val="00DD04DB"/>
    <w:rsid w:val="00DD39B9"/>
    <w:rsid w:val="00DD67A4"/>
    <w:rsid w:val="00DE0FDC"/>
    <w:rsid w:val="00DE1D16"/>
    <w:rsid w:val="00DE3729"/>
    <w:rsid w:val="00DE42EB"/>
    <w:rsid w:val="00DE48A8"/>
    <w:rsid w:val="00DE55CB"/>
    <w:rsid w:val="00DE7542"/>
    <w:rsid w:val="00DF15CD"/>
    <w:rsid w:val="00DF2CDD"/>
    <w:rsid w:val="00DF6329"/>
    <w:rsid w:val="00DF6B67"/>
    <w:rsid w:val="00DF72C0"/>
    <w:rsid w:val="00DF7A1A"/>
    <w:rsid w:val="00E007FB"/>
    <w:rsid w:val="00E00995"/>
    <w:rsid w:val="00E01AB0"/>
    <w:rsid w:val="00E020E5"/>
    <w:rsid w:val="00E020EE"/>
    <w:rsid w:val="00E02340"/>
    <w:rsid w:val="00E03FF1"/>
    <w:rsid w:val="00E047DB"/>
    <w:rsid w:val="00E05B91"/>
    <w:rsid w:val="00E05D40"/>
    <w:rsid w:val="00E07425"/>
    <w:rsid w:val="00E07995"/>
    <w:rsid w:val="00E10B0C"/>
    <w:rsid w:val="00E11490"/>
    <w:rsid w:val="00E1444D"/>
    <w:rsid w:val="00E15C9E"/>
    <w:rsid w:val="00E17040"/>
    <w:rsid w:val="00E2089A"/>
    <w:rsid w:val="00E22215"/>
    <w:rsid w:val="00E23308"/>
    <w:rsid w:val="00E248DA"/>
    <w:rsid w:val="00E2534B"/>
    <w:rsid w:val="00E26ACE"/>
    <w:rsid w:val="00E27020"/>
    <w:rsid w:val="00E279DF"/>
    <w:rsid w:val="00E30C39"/>
    <w:rsid w:val="00E320B1"/>
    <w:rsid w:val="00E32BBE"/>
    <w:rsid w:val="00E33DB0"/>
    <w:rsid w:val="00E3603B"/>
    <w:rsid w:val="00E36568"/>
    <w:rsid w:val="00E42A72"/>
    <w:rsid w:val="00E444F4"/>
    <w:rsid w:val="00E4516D"/>
    <w:rsid w:val="00E45E92"/>
    <w:rsid w:val="00E4637A"/>
    <w:rsid w:val="00E47354"/>
    <w:rsid w:val="00E47425"/>
    <w:rsid w:val="00E50CB2"/>
    <w:rsid w:val="00E50FFF"/>
    <w:rsid w:val="00E52990"/>
    <w:rsid w:val="00E53823"/>
    <w:rsid w:val="00E54258"/>
    <w:rsid w:val="00E547B1"/>
    <w:rsid w:val="00E56BC6"/>
    <w:rsid w:val="00E60200"/>
    <w:rsid w:val="00E60212"/>
    <w:rsid w:val="00E60CE0"/>
    <w:rsid w:val="00E61696"/>
    <w:rsid w:val="00E631CB"/>
    <w:rsid w:val="00E6507C"/>
    <w:rsid w:val="00E664B5"/>
    <w:rsid w:val="00E70650"/>
    <w:rsid w:val="00E72C7A"/>
    <w:rsid w:val="00E7379A"/>
    <w:rsid w:val="00E73974"/>
    <w:rsid w:val="00E800D7"/>
    <w:rsid w:val="00E8425F"/>
    <w:rsid w:val="00E85816"/>
    <w:rsid w:val="00E85FF3"/>
    <w:rsid w:val="00E862AF"/>
    <w:rsid w:val="00E91C7B"/>
    <w:rsid w:val="00E9234C"/>
    <w:rsid w:val="00E92C42"/>
    <w:rsid w:val="00E9484A"/>
    <w:rsid w:val="00E949BB"/>
    <w:rsid w:val="00E95DD4"/>
    <w:rsid w:val="00E9605B"/>
    <w:rsid w:val="00EA20B8"/>
    <w:rsid w:val="00EA29C5"/>
    <w:rsid w:val="00EA32D9"/>
    <w:rsid w:val="00EA4EB7"/>
    <w:rsid w:val="00EA57BD"/>
    <w:rsid w:val="00EA62E8"/>
    <w:rsid w:val="00EA64E5"/>
    <w:rsid w:val="00EA6E43"/>
    <w:rsid w:val="00EA7514"/>
    <w:rsid w:val="00EB0CB5"/>
    <w:rsid w:val="00EB3F56"/>
    <w:rsid w:val="00EB49C1"/>
    <w:rsid w:val="00EB4B0E"/>
    <w:rsid w:val="00EB5DC5"/>
    <w:rsid w:val="00EB620B"/>
    <w:rsid w:val="00EC012B"/>
    <w:rsid w:val="00EC1289"/>
    <w:rsid w:val="00EC12EE"/>
    <w:rsid w:val="00EC1443"/>
    <w:rsid w:val="00EC2998"/>
    <w:rsid w:val="00EC29EA"/>
    <w:rsid w:val="00EC5306"/>
    <w:rsid w:val="00ED0008"/>
    <w:rsid w:val="00ED05B6"/>
    <w:rsid w:val="00ED1671"/>
    <w:rsid w:val="00ED339E"/>
    <w:rsid w:val="00ED488B"/>
    <w:rsid w:val="00ED5A62"/>
    <w:rsid w:val="00ED66B6"/>
    <w:rsid w:val="00ED7405"/>
    <w:rsid w:val="00EE0C17"/>
    <w:rsid w:val="00EE1A7F"/>
    <w:rsid w:val="00EE2F9A"/>
    <w:rsid w:val="00EE3A5F"/>
    <w:rsid w:val="00EE46DD"/>
    <w:rsid w:val="00EE508C"/>
    <w:rsid w:val="00EE5542"/>
    <w:rsid w:val="00EE5D94"/>
    <w:rsid w:val="00EE60FC"/>
    <w:rsid w:val="00EE79EA"/>
    <w:rsid w:val="00EF072C"/>
    <w:rsid w:val="00EF25AD"/>
    <w:rsid w:val="00EF2804"/>
    <w:rsid w:val="00EF30BE"/>
    <w:rsid w:val="00EF36EB"/>
    <w:rsid w:val="00EF4131"/>
    <w:rsid w:val="00EF446C"/>
    <w:rsid w:val="00EF467D"/>
    <w:rsid w:val="00EF60A8"/>
    <w:rsid w:val="00EF662B"/>
    <w:rsid w:val="00F02772"/>
    <w:rsid w:val="00F02F64"/>
    <w:rsid w:val="00F054B5"/>
    <w:rsid w:val="00F065BD"/>
    <w:rsid w:val="00F07577"/>
    <w:rsid w:val="00F11A21"/>
    <w:rsid w:val="00F14F97"/>
    <w:rsid w:val="00F1501F"/>
    <w:rsid w:val="00F1710C"/>
    <w:rsid w:val="00F21CB0"/>
    <w:rsid w:val="00F255ED"/>
    <w:rsid w:val="00F26AB9"/>
    <w:rsid w:val="00F3175C"/>
    <w:rsid w:val="00F361A0"/>
    <w:rsid w:val="00F406D1"/>
    <w:rsid w:val="00F41D4C"/>
    <w:rsid w:val="00F42056"/>
    <w:rsid w:val="00F42CBD"/>
    <w:rsid w:val="00F46D87"/>
    <w:rsid w:val="00F47717"/>
    <w:rsid w:val="00F502A3"/>
    <w:rsid w:val="00F50312"/>
    <w:rsid w:val="00F50A3A"/>
    <w:rsid w:val="00F51DF2"/>
    <w:rsid w:val="00F52507"/>
    <w:rsid w:val="00F54A1F"/>
    <w:rsid w:val="00F570DC"/>
    <w:rsid w:val="00F60D46"/>
    <w:rsid w:val="00F61A1E"/>
    <w:rsid w:val="00F61DF1"/>
    <w:rsid w:val="00F62061"/>
    <w:rsid w:val="00F635AB"/>
    <w:rsid w:val="00F6400F"/>
    <w:rsid w:val="00F670BB"/>
    <w:rsid w:val="00F6725A"/>
    <w:rsid w:val="00F67B9B"/>
    <w:rsid w:val="00F72144"/>
    <w:rsid w:val="00F76DBE"/>
    <w:rsid w:val="00F77DCE"/>
    <w:rsid w:val="00F85FDC"/>
    <w:rsid w:val="00F90631"/>
    <w:rsid w:val="00F91306"/>
    <w:rsid w:val="00F9283E"/>
    <w:rsid w:val="00F93AA7"/>
    <w:rsid w:val="00F93E69"/>
    <w:rsid w:val="00F947B9"/>
    <w:rsid w:val="00F95A36"/>
    <w:rsid w:val="00F96761"/>
    <w:rsid w:val="00F97035"/>
    <w:rsid w:val="00F97E37"/>
    <w:rsid w:val="00FA0753"/>
    <w:rsid w:val="00FA2554"/>
    <w:rsid w:val="00FA2832"/>
    <w:rsid w:val="00FA5054"/>
    <w:rsid w:val="00FA6581"/>
    <w:rsid w:val="00FB16C3"/>
    <w:rsid w:val="00FB1802"/>
    <w:rsid w:val="00FB1954"/>
    <w:rsid w:val="00FB3607"/>
    <w:rsid w:val="00FB4360"/>
    <w:rsid w:val="00FB7CFE"/>
    <w:rsid w:val="00FC004C"/>
    <w:rsid w:val="00FC07B8"/>
    <w:rsid w:val="00FC10CD"/>
    <w:rsid w:val="00FC10E0"/>
    <w:rsid w:val="00FC2482"/>
    <w:rsid w:val="00FC2F4E"/>
    <w:rsid w:val="00FC3E2B"/>
    <w:rsid w:val="00FD0619"/>
    <w:rsid w:val="00FD2D94"/>
    <w:rsid w:val="00FD36E0"/>
    <w:rsid w:val="00FD3C4E"/>
    <w:rsid w:val="00FD45DE"/>
    <w:rsid w:val="00FD491A"/>
    <w:rsid w:val="00FD5864"/>
    <w:rsid w:val="00FD5AD4"/>
    <w:rsid w:val="00FD6962"/>
    <w:rsid w:val="00FD6A52"/>
    <w:rsid w:val="00FD6B3C"/>
    <w:rsid w:val="00FE04E4"/>
    <w:rsid w:val="00FE0CE7"/>
    <w:rsid w:val="00FE101F"/>
    <w:rsid w:val="00FE1182"/>
    <w:rsid w:val="00FE1BB6"/>
    <w:rsid w:val="00FE4541"/>
    <w:rsid w:val="00FE5913"/>
    <w:rsid w:val="00FE5F05"/>
    <w:rsid w:val="00FF1A05"/>
    <w:rsid w:val="00FF65F2"/>
    <w:rsid w:val="00FF7C93"/>
    <w:rsid w:val="03564C06"/>
    <w:rsid w:val="05145E61"/>
    <w:rsid w:val="06BB2D1A"/>
    <w:rsid w:val="06DB57CD"/>
    <w:rsid w:val="079F680F"/>
    <w:rsid w:val="09DE12BD"/>
    <w:rsid w:val="0CE0512D"/>
    <w:rsid w:val="0D0230E3"/>
    <w:rsid w:val="0FAD1DC8"/>
    <w:rsid w:val="10863CAA"/>
    <w:rsid w:val="12FB4A33"/>
    <w:rsid w:val="13887B1A"/>
    <w:rsid w:val="15411D71"/>
    <w:rsid w:val="16352BFB"/>
    <w:rsid w:val="177A5491"/>
    <w:rsid w:val="18324C3F"/>
    <w:rsid w:val="19531A10"/>
    <w:rsid w:val="19AD57B1"/>
    <w:rsid w:val="1B566A66"/>
    <w:rsid w:val="1C2832CC"/>
    <w:rsid w:val="25AE66E1"/>
    <w:rsid w:val="260470EF"/>
    <w:rsid w:val="26F30F76"/>
    <w:rsid w:val="285A17C2"/>
    <w:rsid w:val="2B7319D4"/>
    <w:rsid w:val="2D576573"/>
    <w:rsid w:val="2DDD1F24"/>
    <w:rsid w:val="31944BA2"/>
    <w:rsid w:val="323B26F8"/>
    <w:rsid w:val="32460A89"/>
    <w:rsid w:val="373C022C"/>
    <w:rsid w:val="380940FC"/>
    <w:rsid w:val="39B8294C"/>
    <w:rsid w:val="3B227B92"/>
    <w:rsid w:val="3D1C1481"/>
    <w:rsid w:val="413D3C14"/>
    <w:rsid w:val="46F76693"/>
    <w:rsid w:val="47E56601"/>
    <w:rsid w:val="498C34BA"/>
    <w:rsid w:val="4A70372C"/>
    <w:rsid w:val="4B745559"/>
    <w:rsid w:val="4DA37138"/>
    <w:rsid w:val="4EEE7D8E"/>
    <w:rsid w:val="4FBD38DE"/>
    <w:rsid w:val="501E7B02"/>
    <w:rsid w:val="53772781"/>
    <w:rsid w:val="54886D3A"/>
    <w:rsid w:val="57081358"/>
    <w:rsid w:val="5728768E"/>
    <w:rsid w:val="5A1631D9"/>
    <w:rsid w:val="5A4E5AAD"/>
    <w:rsid w:val="5B195385"/>
    <w:rsid w:val="5B4516CD"/>
    <w:rsid w:val="5C805BD1"/>
    <w:rsid w:val="5D062EAF"/>
    <w:rsid w:val="5DCD21E2"/>
    <w:rsid w:val="5F164911"/>
    <w:rsid w:val="5F995DE3"/>
    <w:rsid w:val="611C2E31"/>
    <w:rsid w:val="625911EA"/>
    <w:rsid w:val="66616B07"/>
    <w:rsid w:val="670E46A1"/>
    <w:rsid w:val="68806B01"/>
    <w:rsid w:val="69D07728"/>
    <w:rsid w:val="6BAE18B0"/>
    <w:rsid w:val="6D6A4A10"/>
    <w:rsid w:val="6FA01020"/>
    <w:rsid w:val="6FCE9A35"/>
    <w:rsid w:val="7296248F"/>
    <w:rsid w:val="756E1C38"/>
    <w:rsid w:val="7BCB7721"/>
    <w:rsid w:val="7ECD2214"/>
    <w:rsid w:val="7EE55AEE"/>
    <w:rsid w:val="7EFFF012"/>
    <w:rsid w:val="7FDC5C54"/>
    <w:rsid w:val="9EB47C36"/>
    <w:rsid w:val="9FF7F53B"/>
    <w:rsid w:val="B7885A24"/>
    <w:rsid w:val="BADF4F66"/>
    <w:rsid w:val="D37A093C"/>
    <w:rsid w:val="DCEF4EAE"/>
    <w:rsid w:val="DDBF82B1"/>
    <w:rsid w:val="DDFFF515"/>
    <w:rsid w:val="DFBD5924"/>
    <w:rsid w:val="EBF29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qFormat/>
    <w:uiPriority w:val="39"/>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annotation text"/>
    <w:basedOn w:val="1"/>
    <w:link w:val="125"/>
    <w:semiHidden/>
    <w:unhideWhenUsed/>
    <w:qFormat/>
    <w:uiPriority w:val="0"/>
    <w:pPr>
      <w:jc w:val="left"/>
    </w:pPr>
  </w:style>
  <w:style w:type="paragraph" w:styleId="19">
    <w:name w:val="HTML Address"/>
    <w:basedOn w:val="1"/>
    <w:qFormat/>
    <w:uiPriority w:val="0"/>
    <w:rPr>
      <w:i/>
      <w:iCs/>
    </w:rPr>
  </w:style>
  <w:style w:type="paragraph" w:styleId="20">
    <w:name w:val="Plain Text"/>
    <w:basedOn w:val="1"/>
    <w:link w:val="119"/>
    <w:qFormat/>
    <w:uiPriority w:val="0"/>
    <w:rPr>
      <w:rFonts w:ascii="宋体" w:hAnsi="Courier New" w:cs="Courier New"/>
      <w:szCs w:val="21"/>
    </w:rPr>
  </w:style>
  <w:style w:type="paragraph" w:styleId="21">
    <w:name w:val="toc 8"/>
    <w:basedOn w:val="11"/>
    <w:next w:val="1"/>
    <w:semiHidden/>
    <w:qFormat/>
    <w:uiPriority w:val="0"/>
  </w:style>
  <w:style w:type="paragraph" w:styleId="22">
    <w:name w:val="Date"/>
    <w:basedOn w:val="1"/>
    <w:next w:val="1"/>
    <w:link w:val="130"/>
    <w:semiHidden/>
    <w:unhideWhenUsed/>
    <w:qFormat/>
    <w:uiPriority w:val="0"/>
    <w:pPr>
      <w:ind w:left="100" w:leftChars="2500"/>
    </w:pPr>
  </w:style>
  <w:style w:type="paragraph" w:styleId="23">
    <w:name w:val="Balloon Text"/>
    <w:basedOn w:val="1"/>
    <w:link w:val="121"/>
    <w:qFormat/>
    <w:uiPriority w:val="0"/>
    <w:rPr>
      <w:sz w:val="18"/>
      <w:szCs w:val="18"/>
    </w:rPr>
  </w:style>
  <w:style w:type="paragraph" w:styleId="24">
    <w:name w:val="footer"/>
    <w:basedOn w:val="1"/>
    <w:qFormat/>
    <w:uiPriority w:val="0"/>
    <w:pPr>
      <w:tabs>
        <w:tab w:val="center" w:pos="4153"/>
        <w:tab w:val="right" w:pos="8306"/>
      </w:tabs>
      <w:snapToGrid w:val="0"/>
      <w:ind w:right="210" w:rightChars="100"/>
      <w:jc w:val="right"/>
    </w:pPr>
    <w:rPr>
      <w:sz w:val="18"/>
      <w:szCs w:val="18"/>
    </w:rPr>
  </w:style>
  <w:style w:type="paragraph" w:styleId="25">
    <w:name w:val="header"/>
    <w:basedOn w:val="1"/>
    <w:link w:val="122"/>
    <w:qFormat/>
    <w:uiPriority w:val="0"/>
    <w:pPr>
      <w:pBdr>
        <w:bottom w:val="single" w:color="auto" w:sz="6" w:space="1"/>
      </w:pBdr>
      <w:tabs>
        <w:tab w:val="center" w:pos="4153"/>
        <w:tab w:val="right" w:pos="8306"/>
      </w:tabs>
      <w:snapToGrid w:val="0"/>
      <w:jc w:val="center"/>
    </w:pPr>
    <w:rPr>
      <w:sz w:val="18"/>
      <w:szCs w:val="18"/>
    </w:rPr>
  </w:style>
  <w:style w:type="paragraph" w:styleId="26">
    <w:name w:val="footnote text"/>
    <w:basedOn w:val="1"/>
    <w:semiHidden/>
    <w:qFormat/>
    <w:uiPriority w:val="0"/>
    <w:pPr>
      <w:snapToGrid w:val="0"/>
      <w:jc w:val="left"/>
    </w:pPr>
    <w:rPr>
      <w:sz w:val="18"/>
      <w:szCs w:val="18"/>
    </w:rPr>
  </w:style>
  <w:style w:type="paragraph" w:styleId="27">
    <w:name w:val="toc 9"/>
    <w:basedOn w:val="21"/>
    <w:next w:val="1"/>
    <w:semiHidden/>
    <w:qFormat/>
    <w:uiPriority w:val="0"/>
  </w:style>
  <w:style w:type="paragraph" w:styleId="28">
    <w:name w:val="HTML Preformatted"/>
    <w:basedOn w:val="1"/>
    <w:qFormat/>
    <w:uiPriority w:val="0"/>
    <w:rPr>
      <w:rFonts w:ascii="Courier New" w:hAnsi="Courier New" w:cs="Courier New"/>
      <w:sz w:val="20"/>
      <w:szCs w:val="20"/>
    </w:rPr>
  </w:style>
  <w:style w:type="paragraph" w:styleId="29">
    <w:name w:val="Title"/>
    <w:basedOn w:val="1"/>
    <w:qFormat/>
    <w:uiPriority w:val="0"/>
    <w:pPr>
      <w:spacing w:before="240" w:after="60"/>
      <w:jc w:val="center"/>
      <w:outlineLvl w:val="0"/>
    </w:pPr>
    <w:rPr>
      <w:rFonts w:ascii="Arial" w:hAnsi="Arial" w:cs="Arial"/>
      <w:b/>
      <w:bCs/>
      <w:sz w:val="32"/>
      <w:szCs w:val="32"/>
    </w:rPr>
  </w:style>
  <w:style w:type="paragraph" w:styleId="30">
    <w:name w:val="annotation subject"/>
    <w:basedOn w:val="18"/>
    <w:next w:val="18"/>
    <w:link w:val="126"/>
    <w:semiHidden/>
    <w:unhideWhenUsed/>
    <w:qFormat/>
    <w:uiPriority w:val="0"/>
    <w:rPr>
      <w:b/>
      <w:bCs/>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qFormat/>
    <w:uiPriority w:val="0"/>
    <w:rPr>
      <w:rFonts w:ascii="Times New Roman" w:hAnsi="Times New Roman" w:eastAsia="宋体"/>
      <w:sz w:val="18"/>
    </w:rPr>
  </w:style>
  <w:style w:type="character" w:styleId="35">
    <w:name w:val="HTML Definition"/>
    <w:qFormat/>
    <w:uiPriority w:val="0"/>
    <w:rPr>
      <w:i/>
      <w:iCs/>
    </w:rPr>
  </w:style>
  <w:style w:type="character" w:styleId="36">
    <w:name w:val="HTML Typewriter"/>
    <w:qFormat/>
    <w:uiPriority w:val="0"/>
    <w:rPr>
      <w:rFonts w:ascii="Courier New" w:hAnsi="Courier New"/>
      <w:sz w:val="20"/>
      <w:szCs w:val="20"/>
    </w:rPr>
  </w:style>
  <w:style w:type="character" w:styleId="37">
    <w:name w:val="HTML Acronym"/>
    <w:basedOn w:val="33"/>
    <w:qFormat/>
    <w:uiPriority w:val="0"/>
  </w:style>
  <w:style w:type="character" w:styleId="38">
    <w:name w:val="HTML Variable"/>
    <w:qFormat/>
    <w:uiPriority w:val="0"/>
    <w:rPr>
      <w:i/>
      <w:iCs/>
    </w:rPr>
  </w:style>
  <w:style w:type="character" w:styleId="39">
    <w:name w:val="Hyperlink"/>
    <w:qFormat/>
    <w:uiPriority w:val="99"/>
    <w:rPr>
      <w:rFonts w:ascii="Times New Roman" w:hAnsi="Times New Roman" w:eastAsia="宋体"/>
      <w:color w:val="auto"/>
      <w:spacing w:val="0"/>
      <w:w w:val="100"/>
      <w:position w:val="0"/>
      <w:sz w:val="21"/>
      <w:u w:val="none"/>
      <w:vertAlign w:val="baseline"/>
    </w:rPr>
  </w:style>
  <w:style w:type="character" w:styleId="40">
    <w:name w:val="HTML Code"/>
    <w:qFormat/>
    <w:uiPriority w:val="0"/>
    <w:rPr>
      <w:rFonts w:ascii="Courier New" w:hAnsi="Courier New"/>
      <w:sz w:val="20"/>
      <w:szCs w:val="20"/>
    </w:rPr>
  </w:style>
  <w:style w:type="character" w:styleId="41">
    <w:name w:val="annotation reference"/>
    <w:basedOn w:val="33"/>
    <w:semiHidden/>
    <w:unhideWhenUsed/>
    <w:qFormat/>
    <w:uiPriority w:val="0"/>
    <w:rPr>
      <w:sz w:val="21"/>
      <w:szCs w:val="21"/>
    </w:rPr>
  </w:style>
  <w:style w:type="character" w:styleId="42">
    <w:name w:val="HTML Cite"/>
    <w:qFormat/>
    <w:uiPriority w:val="0"/>
    <w:rPr>
      <w:i/>
      <w:iCs/>
    </w:rPr>
  </w:style>
  <w:style w:type="character" w:styleId="43">
    <w:name w:val="footnote reference"/>
    <w:semiHidden/>
    <w:qFormat/>
    <w:uiPriority w:val="0"/>
    <w:rPr>
      <w:vertAlign w:val="superscript"/>
    </w:rPr>
  </w:style>
  <w:style w:type="character" w:styleId="44">
    <w:name w:val="HTML Keyboard"/>
    <w:qFormat/>
    <w:uiPriority w:val="0"/>
    <w:rPr>
      <w:rFonts w:ascii="Courier New" w:hAnsi="Courier New"/>
      <w:sz w:val="20"/>
      <w:szCs w:val="20"/>
    </w:rPr>
  </w:style>
  <w:style w:type="character" w:styleId="45">
    <w:name w:val="HTML Sample"/>
    <w:qFormat/>
    <w:uiPriority w:val="0"/>
    <w:rPr>
      <w:rFonts w:ascii="Courier New" w:hAnsi="Courier New"/>
    </w:rPr>
  </w:style>
  <w:style w:type="character" w:customStyle="1" w:styleId="46">
    <w:name w:val="三级条标题 Char"/>
    <w:basedOn w:val="47"/>
    <w:link w:val="52"/>
    <w:qFormat/>
    <w:uiPriority w:val="0"/>
    <w:rPr>
      <w:rFonts w:eastAsia="黑体"/>
      <w:sz w:val="21"/>
      <w:lang w:val="en-US" w:eastAsia="zh-CN" w:bidi="ar-SA"/>
    </w:rPr>
  </w:style>
  <w:style w:type="character" w:customStyle="1" w:styleId="47">
    <w:name w:val="二级条标题 Char"/>
    <w:basedOn w:val="48"/>
    <w:link w:val="51"/>
    <w:qFormat/>
    <w:uiPriority w:val="0"/>
    <w:rPr>
      <w:rFonts w:eastAsia="黑体"/>
      <w:sz w:val="21"/>
      <w:lang w:val="en-US" w:eastAsia="zh-CN" w:bidi="ar-SA"/>
    </w:rPr>
  </w:style>
  <w:style w:type="character" w:customStyle="1" w:styleId="48">
    <w:name w:val="一级条标题 Char"/>
    <w:link w:val="49"/>
    <w:qFormat/>
    <w:uiPriority w:val="0"/>
    <w:rPr>
      <w:rFonts w:eastAsia="黑体"/>
      <w:sz w:val="21"/>
    </w:rPr>
  </w:style>
  <w:style w:type="paragraph" w:customStyle="1" w:styleId="49">
    <w:name w:val="一级条标题"/>
    <w:next w:val="50"/>
    <w:link w:val="48"/>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50">
    <w:name w:val="段"/>
    <w:link w:val="5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1">
    <w:name w:val="二级条标题"/>
    <w:basedOn w:val="49"/>
    <w:next w:val="50"/>
    <w:link w:val="47"/>
    <w:qFormat/>
    <w:uiPriority w:val="0"/>
    <w:pPr>
      <w:numPr>
        <w:ilvl w:val="3"/>
      </w:numPr>
      <w:outlineLvl w:val="3"/>
    </w:pPr>
  </w:style>
  <w:style w:type="paragraph" w:customStyle="1" w:styleId="52">
    <w:name w:val="三级条标题"/>
    <w:basedOn w:val="51"/>
    <w:next w:val="50"/>
    <w:link w:val="46"/>
    <w:qFormat/>
    <w:uiPriority w:val="0"/>
    <w:pPr>
      <w:numPr>
        <w:ilvl w:val="4"/>
      </w:numPr>
      <w:outlineLvl w:val="4"/>
    </w:pPr>
  </w:style>
  <w:style w:type="character" w:customStyle="1" w:styleId="53">
    <w:name w:val="正文表标题 Char"/>
    <w:link w:val="54"/>
    <w:qFormat/>
    <w:uiPriority w:val="0"/>
    <w:rPr>
      <w:rFonts w:ascii="黑体" w:eastAsia="黑体"/>
      <w:sz w:val="21"/>
      <w:lang w:val="en-US" w:eastAsia="zh-CN" w:bidi="ar-SA"/>
    </w:rPr>
  </w:style>
  <w:style w:type="paragraph" w:customStyle="1" w:styleId="54">
    <w:name w:val="正文表标题"/>
    <w:next w:val="50"/>
    <w:link w:val="53"/>
    <w:qFormat/>
    <w:uiPriority w:val="0"/>
    <w:pPr>
      <w:numPr>
        <w:ilvl w:val="0"/>
        <w:numId w:val="2"/>
      </w:numPr>
      <w:jc w:val="center"/>
    </w:pPr>
    <w:rPr>
      <w:rFonts w:ascii="黑体" w:hAnsi="Times New Roman" w:eastAsia="黑体" w:cs="Times New Roman"/>
      <w:sz w:val="21"/>
      <w:lang w:val="en-US" w:eastAsia="zh-CN" w:bidi="ar-SA"/>
    </w:rPr>
  </w:style>
  <w:style w:type="character" w:customStyle="1" w:styleId="55">
    <w:name w:val="段 Char"/>
    <w:link w:val="50"/>
    <w:qFormat/>
    <w:uiPriority w:val="0"/>
    <w:rPr>
      <w:rFonts w:ascii="宋体"/>
      <w:sz w:val="21"/>
      <w:lang w:val="en-US" w:eastAsia="zh-CN" w:bidi="ar-SA"/>
    </w:rPr>
  </w:style>
  <w:style w:type="character" w:customStyle="1" w:styleId="56">
    <w:name w:val="发布"/>
    <w:qFormat/>
    <w:uiPriority w:val="0"/>
    <w:rPr>
      <w:rFonts w:ascii="黑体" w:eastAsia="黑体"/>
      <w:spacing w:val="22"/>
      <w:w w:val="100"/>
      <w:position w:val="3"/>
      <w:sz w:val="28"/>
    </w:rPr>
  </w:style>
  <w:style w:type="character" w:customStyle="1" w:styleId="57">
    <w:name w:val="数字编号列项（二级） Char"/>
    <w:qFormat/>
    <w:uiPriority w:val="0"/>
    <w:rPr>
      <w:rFonts w:ascii="宋体" w:eastAsia="宋体"/>
      <w:sz w:val="21"/>
      <w:lang w:val="en-US" w:eastAsia="zh-CN" w:bidi="ar-SA"/>
    </w:rPr>
  </w:style>
  <w:style w:type="character" w:customStyle="1" w:styleId="58">
    <w:name w:val="个人答复风格"/>
    <w:qFormat/>
    <w:uiPriority w:val="0"/>
    <w:rPr>
      <w:rFonts w:ascii="Arial" w:hAnsi="Arial" w:eastAsia="宋体" w:cs="Arial"/>
      <w:color w:val="auto"/>
      <w:sz w:val="20"/>
    </w:rPr>
  </w:style>
  <w:style w:type="character" w:customStyle="1" w:styleId="59">
    <w:name w:val="个人撰写风格"/>
    <w:qFormat/>
    <w:uiPriority w:val="0"/>
    <w:rPr>
      <w:rFonts w:ascii="Arial" w:hAnsi="Arial" w:eastAsia="宋体" w:cs="Arial"/>
      <w:color w:val="auto"/>
      <w:sz w:val="20"/>
    </w:rPr>
  </w:style>
  <w:style w:type="paragraph" w:customStyle="1" w:styleId="60">
    <w:name w:val="封面标准号2"/>
    <w:basedOn w:val="61"/>
    <w:qFormat/>
    <w:uiPriority w:val="0"/>
    <w:pPr>
      <w:framePr w:w="9138" w:h="1244" w:hRule="exact" w:wrap="around" w:vAnchor="page" w:hAnchor="margin" w:y="2908"/>
      <w:adjustRightInd w:val="0"/>
      <w:spacing w:before="357" w:line="280" w:lineRule="exact"/>
    </w:pPr>
  </w:style>
  <w:style w:type="paragraph" w:customStyle="1" w:styleId="6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2">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63">
    <w:name w:val="附录二级条标题"/>
    <w:basedOn w:val="64"/>
    <w:next w:val="50"/>
    <w:qFormat/>
    <w:uiPriority w:val="0"/>
    <w:pPr>
      <w:outlineLvl w:val="3"/>
    </w:pPr>
  </w:style>
  <w:style w:type="paragraph" w:customStyle="1" w:styleId="64">
    <w:name w:val="附录一级条标题"/>
    <w:basedOn w:val="65"/>
    <w:next w:val="50"/>
    <w:qFormat/>
    <w:uiPriority w:val="0"/>
    <w:pPr>
      <w:autoSpaceDN w:val="0"/>
      <w:spacing w:beforeLines="0" w:afterLines="0"/>
      <w:outlineLvl w:val="2"/>
    </w:pPr>
  </w:style>
  <w:style w:type="paragraph" w:customStyle="1" w:styleId="65">
    <w:name w:val="附录章标题"/>
    <w:next w:val="50"/>
    <w:qFormat/>
    <w:uiPriority w:val="0"/>
    <w:pPr>
      <w:wordWrap w:val="0"/>
      <w:overflowPunct w:val="0"/>
      <w:autoSpaceDE w:val="0"/>
      <w:spacing w:beforeLines="50" w:afterLines="50"/>
      <w:ind w:left="4095"/>
      <w:jc w:val="both"/>
      <w:textAlignment w:val="baseline"/>
      <w:outlineLvl w:val="1"/>
    </w:pPr>
    <w:rPr>
      <w:rFonts w:ascii="黑体" w:hAnsi="Times New Roman" w:eastAsia="黑体" w:cs="Times New Roman"/>
      <w:kern w:val="21"/>
      <w:sz w:val="21"/>
      <w:lang w:val="en-US" w:eastAsia="zh-CN" w:bidi="ar-SA"/>
    </w:rPr>
  </w:style>
  <w:style w:type="paragraph" w:customStyle="1" w:styleId="66">
    <w:name w:val="列项●（二级）"/>
    <w:qFormat/>
    <w:uiPriority w:val="0"/>
    <w:p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67">
    <w:name w:val="附录四级条标题"/>
    <w:basedOn w:val="68"/>
    <w:next w:val="50"/>
    <w:qFormat/>
    <w:uiPriority w:val="0"/>
    <w:pPr>
      <w:outlineLvl w:val="5"/>
    </w:pPr>
  </w:style>
  <w:style w:type="paragraph" w:customStyle="1" w:styleId="68">
    <w:name w:val="附录三级条标题"/>
    <w:basedOn w:val="63"/>
    <w:next w:val="50"/>
    <w:qFormat/>
    <w:uiPriority w:val="0"/>
    <w:pPr>
      <w:outlineLvl w:val="4"/>
    </w:pPr>
  </w:style>
  <w:style w:type="paragraph" w:customStyle="1" w:styleId="69">
    <w:name w:val="附录标识"/>
    <w:basedOn w:val="70"/>
    <w:qFormat/>
    <w:uiPriority w:val="0"/>
    <w:pPr>
      <w:tabs>
        <w:tab w:val="left" w:pos="6405"/>
      </w:tabs>
      <w:spacing w:after="200"/>
      <w:ind w:left="5246"/>
    </w:pPr>
    <w:rPr>
      <w:sz w:val="21"/>
    </w:rPr>
  </w:style>
  <w:style w:type="paragraph" w:customStyle="1" w:styleId="70">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72">
    <w:name w:val="列项◆（三级）"/>
    <w:qFormat/>
    <w:uiPriority w:val="0"/>
    <w:pPr>
      <w:tabs>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7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4">
    <w:name w:val="注："/>
    <w:next w:val="50"/>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75">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7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77">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78">
    <w:name w:val="其他发布部门"/>
    <w:basedOn w:val="79"/>
    <w:qFormat/>
    <w:uiPriority w:val="0"/>
    <w:pPr>
      <w:spacing w:line="0" w:lineRule="atLeast"/>
    </w:pPr>
    <w:rPr>
      <w:rFonts w:ascii="黑体" w:eastAsia="黑体"/>
      <w:b w:val="0"/>
    </w:rPr>
  </w:style>
  <w:style w:type="paragraph" w:customStyle="1" w:styleId="79">
    <w:name w:val="发布部门"/>
    <w:next w:val="5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0">
    <w:name w:val="1"/>
    <w:basedOn w:val="1"/>
    <w:next w:val="20"/>
    <w:qFormat/>
    <w:uiPriority w:val="0"/>
    <w:rPr>
      <w:rFonts w:ascii="宋体" w:hAnsi="Courier New"/>
      <w:szCs w:val="20"/>
    </w:rPr>
  </w:style>
  <w:style w:type="paragraph" w:customStyle="1" w:styleId="81">
    <w:name w:val="标准书眉_偶数页"/>
    <w:basedOn w:val="82"/>
    <w:next w:val="1"/>
    <w:qFormat/>
    <w:uiPriority w:val="0"/>
    <w:pPr>
      <w:tabs>
        <w:tab w:val="center" w:pos="4154"/>
        <w:tab w:val="right" w:pos="8306"/>
      </w:tabs>
      <w:jc w:val="left"/>
    </w:pPr>
  </w:style>
  <w:style w:type="paragraph" w:customStyle="1" w:styleId="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84">
    <w:name w:val="附录表标号"/>
    <w:basedOn w:val="1"/>
    <w:next w:val="50"/>
    <w:qFormat/>
    <w:uiPriority w:val="0"/>
    <w:pPr>
      <w:spacing w:line="14" w:lineRule="exact"/>
      <w:ind w:left="811" w:hanging="448"/>
      <w:jc w:val="center"/>
      <w:outlineLvl w:val="0"/>
    </w:pPr>
    <w:rPr>
      <w:color w:val="FFFFFF"/>
    </w:rPr>
  </w:style>
  <w:style w:type="paragraph" w:customStyle="1" w:styleId="8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7">
    <w:name w:val="目次、标准名称标题"/>
    <w:basedOn w:val="70"/>
    <w:next w:val="50"/>
    <w:qFormat/>
    <w:uiPriority w:val="0"/>
    <w:pPr>
      <w:spacing w:line="460" w:lineRule="exact"/>
    </w:pPr>
  </w:style>
  <w:style w:type="paragraph" w:customStyle="1" w:styleId="8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9">
    <w:name w:val="条文脚注"/>
    <w:basedOn w:val="26"/>
    <w:qFormat/>
    <w:uiPriority w:val="0"/>
    <w:pPr>
      <w:ind w:left="780" w:leftChars="200" w:hanging="360" w:hangingChars="200"/>
      <w:jc w:val="both"/>
    </w:pPr>
    <w:rPr>
      <w:rFonts w:ascii="宋体"/>
    </w:rPr>
  </w:style>
  <w:style w:type="paragraph" w:customStyle="1" w:styleId="90">
    <w:name w:val="列项·"/>
    <w:qFormat/>
    <w:uiPriority w:val="0"/>
    <w:pPr>
      <w:tabs>
        <w:tab w:val="left" w:pos="840"/>
      </w:tabs>
      <w:ind w:left="420"/>
      <w:jc w:val="both"/>
    </w:pPr>
    <w:rPr>
      <w:rFonts w:ascii="宋体" w:hAnsi="宋体" w:eastAsia="宋体" w:cs="Times New Roman"/>
      <w:sz w:val="21"/>
      <w:lang w:val="en-US" w:eastAsia="zh-CN" w:bidi="ar-SA"/>
    </w:rPr>
  </w:style>
  <w:style w:type="paragraph" w:customStyle="1" w:styleId="91">
    <w:name w:val="章标题"/>
    <w:next w:val="50"/>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92">
    <w:name w:val="实施日期"/>
    <w:basedOn w:val="93"/>
    <w:qFormat/>
    <w:uiPriority w:val="0"/>
    <w:pPr>
      <w:framePr w:hSpace="0" w:xAlign="right"/>
      <w:ind w:left="710"/>
      <w:jc w:val="right"/>
    </w:pPr>
  </w:style>
  <w:style w:type="paragraph" w:customStyle="1" w:styleId="9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6">
    <w:name w:val="图表脚注"/>
    <w:next w:val="50"/>
    <w:qFormat/>
    <w:uiPriority w:val="0"/>
    <w:pPr>
      <w:jc w:val="both"/>
    </w:pPr>
    <w:rPr>
      <w:rFonts w:ascii="宋体" w:hAnsi="Times New Roman" w:eastAsia="宋体" w:cs="Times New Roman"/>
      <w:sz w:val="18"/>
      <w:lang w:val="en-US" w:eastAsia="zh-CN" w:bidi="ar-SA"/>
    </w:rPr>
  </w:style>
  <w:style w:type="paragraph" w:customStyle="1" w:styleId="9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8">
    <w:name w:val="标准书眉一"/>
    <w:qFormat/>
    <w:uiPriority w:val="0"/>
    <w:pPr>
      <w:jc w:val="both"/>
    </w:pPr>
    <w:rPr>
      <w:rFonts w:ascii="Times New Roman" w:hAnsi="Times New Roman" w:eastAsia="宋体" w:cs="Times New Roman"/>
      <w:lang w:val="en-US" w:eastAsia="zh-CN" w:bidi="ar-SA"/>
    </w:rPr>
  </w:style>
  <w:style w:type="paragraph" w:customStyle="1" w:styleId="9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00">
    <w:name w:val="附录图标题"/>
    <w:next w:val="50"/>
    <w:qFormat/>
    <w:uiPriority w:val="0"/>
    <w:pPr>
      <w:tabs>
        <w:tab w:val="left" w:pos="360"/>
      </w:tabs>
      <w:jc w:val="center"/>
    </w:pPr>
    <w:rPr>
      <w:rFonts w:ascii="黑体" w:hAnsi="Times New Roman" w:eastAsia="黑体" w:cs="Times New Roman"/>
      <w:sz w:val="21"/>
      <w:lang w:val="en-US" w:eastAsia="zh-CN" w:bidi="ar-SA"/>
    </w:rPr>
  </w:style>
  <w:style w:type="paragraph" w:customStyle="1" w:styleId="101">
    <w:name w:val="四级条标题"/>
    <w:basedOn w:val="52"/>
    <w:next w:val="50"/>
    <w:qFormat/>
    <w:uiPriority w:val="0"/>
    <w:pPr>
      <w:numPr>
        <w:ilvl w:val="0"/>
        <w:numId w:val="0"/>
      </w:numPr>
      <w:outlineLvl w:val="5"/>
    </w:pPr>
  </w:style>
  <w:style w:type="paragraph" w:customStyle="1" w:styleId="102">
    <w:name w:val="正文图标题"/>
    <w:next w:val="50"/>
    <w:qFormat/>
    <w:uiPriority w:val="0"/>
    <w:pPr>
      <w:jc w:val="center"/>
    </w:pPr>
    <w:rPr>
      <w:rFonts w:ascii="黑体" w:hAnsi="Times New Roman" w:eastAsia="黑体" w:cs="Times New Roman"/>
      <w:sz w:val="21"/>
      <w:lang w:val="en-US" w:eastAsia="zh-CN" w:bidi="ar-SA"/>
    </w:rPr>
  </w:style>
  <w:style w:type="paragraph" w:customStyle="1" w:styleId="10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05">
    <w:name w:val="附录五级条标题"/>
    <w:basedOn w:val="67"/>
    <w:next w:val="50"/>
    <w:qFormat/>
    <w:uiPriority w:val="0"/>
    <w:pPr>
      <w:outlineLvl w:val="6"/>
    </w:pPr>
  </w:style>
  <w:style w:type="paragraph" w:customStyle="1" w:styleId="106">
    <w:name w:val="列项——（一级）"/>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07">
    <w:name w:val="示例"/>
    <w:next w:val="50"/>
    <w:qFormat/>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10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9">
    <w:name w:val="附录表标题"/>
    <w:next w:val="50"/>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10">
    <w:name w:val="其他发布日期"/>
    <w:basedOn w:val="93"/>
    <w:qFormat/>
    <w:uiPriority w:val="0"/>
    <w:pPr>
      <w:framePr w:w="3997" w:h="471" w:hRule="exact" w:hSpace="0" w:vSpace="181" w:vAnchor="page" w:hAnchor="page" w:x="1419" w:y="14097"/>
    </w:pPr>
  </w:style>
  <w:style w:type="paragraph" w:customStyle="1" w:styleId="111">
    <w:name w:val="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2">
    <w:name w:val="参考文献、索引标题"/>
    <w:basedOn w:val="70"/>
    <w:next w:val="1"/>
    <w:qFormat/>
    <w:uiPriority w:val="0"/>
    <w:pPr>
      <w:spacing w:after="200"/>
    </w:pPr>
    <w:rPr>
      <w:sz w:val="21"/>
    </w:rPr>
  </w:style>
  <w:style w:type="paragraph" w:customStyle="1" w:styleId="113">
    <w:name w:val="正文公式编号制表符"/>
    <w:basedOn w:val="50"/>
    <w:next w:val="50"/>
    <w:qFormat/>
    <w:uiPriority w:val="0"/>
    <w:pPr>
      <w:tabs>
        <w:tab w:val="center" w:pos="4201"/>
        <w:tab w:val="right" w:leader="dot" w:pos="9298"/>
      </w:tabs>
      <w:ind w:firstLine="0" w:firstLineChars="0"/>
    </w:pPr>
  </w:style>
  <w:style w:type="paragraph" w:customStyle="1" w:styleId="114">
    <w:name w:val="五级条标题"/>
    <w:basedOn w:val="101"/>
    <w:next w:val="50"/>
    <w:qFormat/>
    <w:uiPriority w:val="0"/>
    <w:pPr>
      <w:outlineLvl w:val="6"/>
    </w:pPr>
  </w:style>
  <w:style w:type="paragraph" w:customStyle="1" w:styleId="115">
    <w:name w:val="封面标准代替信息"/>
    <w:basedOn w:val="60"/>
    <w:qFormat/>
    <w:uiPriority w:val="0"/>
    <w:pPr>
      <w:spacing w:before="57"/>
    </w:pPr>
    <w:rPr>
      <w:rFonts w:ascii="宋体"/>
      <w:sz w:val="21"/>
    </w:rPr>
  </w:style>
  <w:style w:type="paragraph" w:customStyle="1" w:styleId="116">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7">
    <w:name w:val="封面正文"/>
    <w:qFormat/>
    <w:uiPriority w:val="0"/>
    <w:pPr>
      <w:jc w:val="both"/>
    </w:pPr>
    <w:rPr>
      <w:rFonts w:ascii="Times New Roman" w:hAnsi="Times New Roman" w:eastAsia="宋体" w:cs="Times New Roman"/>
      <w:lang w:val="en-US" w:eastAsia="zh-CN" w:bidi="ar-SA"/>
    </w:rPr>
  </w:style>
  <w:style w:type="paragraph" w:customStyle="1" w:styleId="11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character" w:customStyle="1" w:styleId="119">
    <w:name w:val="纯文本 字符"/>
    <w:link w:val="20"/>
    <w:qFormat/>
    <w:uiPriority w:val="0"/>
    <w:rPr>
      <w:rFonts w:ascii="宋体" w:hAnsi="Courier New" w:eastAsia="宋体" w:cs="Courier New"/>
      <w:kern w:val="2"/>
      <w:sz w:val="21"/>
      <w:szCs w:val="21"/>
      <w:lang w:val="en-US" w:eastAsia="zh-CN" w:bidi="ar-SA"/>
    </w:rPr>
  </w:style>
  <w:style w:type="paragraph" w:customStyle="1" w:styleId="120">
    <w:name w:val="二级无"/>
    <w:basedOn w:val="51"/>
    <w:qFormat/>
    <w:uiPriority w:val="0"/>
    <w:pPr>
      <w:numPr>
        <w:ilvl w:val="0"/>
        <w:numId w:val="0"/>
      </w:numPr>
      <w:ind w:left="4095"/>
    </w:pPr>
    <w:rPr>
      <w:rFonts w:ascii="宋体" w:eastAsia="宋体"/>
      <w:szCs w:val="21"/>
    </w:rPr>
  </w:style>
  <w:style w:type="character" w:customStyle="1" w:styleId="121">
    <w:name w:val="批注框文本 字符"/>
    <w:link w:val="23"/>
    <w:semiHidden/>
    <w:qFormat/>
    <w:locked/>
    <w:uiPriority w:val="0"/>
    <w:rPr>
      <w:kern w:val="2"/>
      <w:sz w:val="18"/>
      <w:szCs w:val="18"/>
    </w:rPr>
  </w:style>
  <w:style w:type="character" w:customStyle="1" w:styleId="122">
    <w:name w:val="页眉 字符"/>
    <w:link w:val="25"/>
    <w:qFormat/>
    <w:locked/>
    <w:uiPriority w:val="0"/>
    <w:rPr>
      <w:kern w:val="2"/>
      <w:sz w:val="18"/>
      <w:szCs w:val="18"/>
    </w:rPr>
  </w:style>
  <w:style w:type="paragraph" w:styleId="123">
    <w:name w:val="List Paragraph"/>
    <w:basedOn w:val="1"/>
    <w:qFormat/>
    <w:uiPriority w:val="34"/>
    <w:pPr>
      <w:ind w:firstLine="420" w:firstLineChars="200"/>
    </w:pPr>
  </w:style>
  <w:style w:type="paragraph" w:customStyle="1" w:styleId="124">
    <w:name w:val="TOC 标题1"/>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125">
    <w:name w:val="批注文字 字符"/>
    <w:basedOn w:val="33"/>
    <w:link w:val="18"/>
    <w:semiHidden/>
    <w:qFormat/>
    <w:uiPriority w:val="0"/>
    <w:rPr>
      <w:kern w:val="2"/>
      <w:sz w:val="21"/>
      <w:szCs w:val="24"/>
    </w:rPr>
  </w:style>
  <w:style w:type="character" w:customStyle="1" w:styleId="126">
    <w:name w:val="批注主题 字符"/>
    <w:basedOn w:val="125"/>
    <w:link w:val="30"/>
    <w:semiHidden/>
    <w:qFormat/>
    <w:uiPriority w:val="0"/>
    <w:rPr>
      <w:b/>
      <w:bCs/>
      <w:kern w:val="2"/>
      <w:sz w:val="21"/>
      <w:szCs w:val="24"/>
    </w:rPr>
  </w:style>
  <w:style w:type="character" w:customStyle="1" w:styleId="127">
    <w:name w:val="批注框文本 Char"/>
    <w:qFormat/>
    <w:uiPriority w:val="0"/>
    <w:rPr>
      <w:kern w:val="2"/>
      <w:sz w:val="18"/>
      <w:szCs w:val="18"/>
    </w:rPr>
  </w:style>
  <w:style w:type="character" w:customStyle="1" w:styleId="128">
    <w:name w:val="页眉 Char"/>
    <w:qFormat/>
    <w:uiPriority w:val="0"/>
    <w:rPr>
      <w:kern w:val="2"/>
      <w:sz w:val="18"/>
      <w:szCs w:val="18"/>
    </w:rPr>
  </w:style>
  <w:style w:type="paragraph" w:customStyle="1" w:styleId="129">
    <w:name w:val="终结线"/>
    <w:basedOn w:val="1"/>
    <w:qFormat/>
    <w:uiPriority w:val="0"/>
    <w:pPr>
      <w:framePr w:hSpace="181" w:vSpace="181" w:wrap="around" w:vAnchor="text" w:hAnchor="margin" w:xAlign="center" w:y="285"/>
    </w:pPr>
  </w:style>
  <w:style w:type="character" w:customStyle="1" w:styleId="130">
    <w:name w:val="日期 字符"/>
    <w:basedOn w:val="33"/>
    <w:link w:val="22"/>
    <w:semiHidden/>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wmf"/><Relationship Id="rId15" Type="http://schemas.openxmlformats.org/officeDocument/2006/relationships/oleObject" Target="embeddings/oleObject2.bin"/><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801</Words>
  <Characters>4566</Characters>
  <Lines>38</Lines>
  <Paragraphs>10</Paragraphs>
  <TotalTime>30</TotalTime>
  <ScaleCrop>false</ScaleCrop>
  <LinksUpToDate>false</LinksUpToDate>
  <CharactersWithSpaces>5357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2022-12-06T00:39:00Z</dcterms:created>
  <dc:creator>liuxu</dc:creator>
  <cp:lastModifiedBy>user</cp:lastModifiedBy>
  <cp:lastPrinted>2022-12-14T01:03:00Z</cp:lastPrinted>
  <dcterms:modified xsi:type="dcterms:W3CDTF">2023-02-16T14:36:03Z</dcterms:modified>
  <dc:title>分布在3个主要使用（销售）区域</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2052-11.8.2.10251</vt:lpwstr>
  </property>
</Properties>
</file>