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附件2</w:t>
      </w:r>
    </w:p>
    <w:p>
      <w:pPr>
        <w:spacing w:line="600" w:lineRule="exact"/>
        <w:rPr>
          <w:rFonts w:hint="eastAsia" w:ascii="仿宋_GB2312" w:hAnsi="Times New Roman" w:eastAsia="仿宋_GB2312" w:cs="方正仿宋_GBK"/>
          <w:color w:val="000000"/>
          <w:sz w:val="32"/>
          <w:szCs w:val="32"/>
        </w:rPr>
      </w:pPr>
    </w:p>
    <w:p>
      <w:pPr>
        <w:spacing w:line="600" w:lineRule="exact"/>
        <w:jc w:val="center"/>
        <w:rPr>
          <w:rFonts w:hint="eastAsia" w:ascii="方正小标宋简体" w:hAnsi="Times New Roman" w:eastAsia="方正小标宋简体" w:cs="方正仿宋_GBK"/>
          <w:color w:val="000000"/>
          <w:sz w:val="40"/>
          <w:szCs w:val="44"/>
        </w:rPr>
      </w:pPr>
      <w:r>
        <w:rPr>
          <w:rFonts w:hint="eastAsia" w:ascii="方正小标宋简体" w:hAnsi="Times New Roman" w:eastAsia="方正小标宋简体" w:cs="方正仿宋_GBK"/>
          <w:color w:val="000000"/>
          <w:sz w:val="40"/>
          <w:szCs w:val="44"/>
        </w:rPr>
        <w:t>202-2023 年全国通用类农业机械中央财政资金</w:t>
      </w:r>
    </w:p>
    <w:p>
      <w:pPr>
        <w:spacing w:line="600" w:lineRule="exact"/>
        <w:jc w:val="center"/>
        <w:rPr>
          <w:rFonts w:hint="eastAsia" w:ascii="方正小标宋简体" w:hAnsi="Times New Roman" w:eastAsia="方正小标宋简体" w:cs="方正仿宋_GBK"/>
          <w:color w:val="000000"/>
          <w:sz w:val="40"/>
          <w:szCs w:val="44"/>
        </w:rPr>
      </w:pPr>
      <w:r>
        <w:rPr>
          <w:rFonts w:hint="eastAsia" w:ascii="方正小标宋简体" w:hAnsi="Times New Roman" w:eastAsia="方正小标宋简体" w:cs="方正仿宋_GBK"/>
          <w:color w:val="000000"/>
          <w:sz w:val="40"/>
          <w:szCs w:val="44"/>
        </w:rPr>
        <w:t>最高补贴额一览表（2022 修订）</w:t>
      </w:r>
    </w:p>
    <w:p>
      <w:pPr>
        <w:spacing w:line="600" w:lineRule="exact"/>
        <w:rPr>
          <w:rFonts w:hint="eastAsia" w:ascii="仿宋_GB2312" w:hAnsi="Times New Roman" w:eastAsia="仿宋_GB2312" w:cs="方正仿宋_GBK"/>
          <w:color w:val="000000"/>
          <w:sz w:val="32"/>
          <w:szCs w:val="32"/>
        </w:rPr>
      </w:pPr>
    </w:p>
    <w:p>
      <w:pPr>
        <w:spacing w:line="600" w:lineRule="exact"/>
        <w:jc w:val="center"/>
        <w:rPr>
          <w:rFonts w:hint="eastAsia" w:ascii="楷体_GB2312" w:hAnsi="Times New Roman" w:eastAsia="楷体_GB2312" w:cs="方正仿宋_GBK"/>
          <w:color w:val="000000"/>
          <w:sz w:val="32"/>
          <w:szCs w:val="32"/>
        </w:rPr>
      </w:pPr>
      <w:r>
        <w:rPr>
          <w:rFonts w:hint="eastAsia" w:ascii="楷体_GB2312" w:hAnsi="Times New Roman" w:eastAsia="楷体_GB2312" w:cs="方正仿宋_GBK"/>
          <w:color w:val="000000"/>
          <w:sz w:val="32"/>
          <w:szCs w:val="32"/>
        </w:rPr>
        <w:t>目 录</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一、耕整地机械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（一）耕地机械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1.旋耕机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2.深松机</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二、种植施肥机械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（二）播种机械（可含施肥功能）</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3.条播机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4.穴播机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5.单粒（精密）播种机</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（三）栽植机械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6.插秧机</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三、田间管理机械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（四）植保机械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7.喷雾机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8.植保无人驾驶航空器</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四、收获机械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（五）粮食作物收获机械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9.谷物联合收割机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10.玉米收获机</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（六）油料作物收获机械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11.油菜籽收获机</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（七）秸秆收集处理机械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12.秸秆粉碎还田机</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五、饲料（草）收获加工运输设备</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（八）饲料（草）收获机械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13.打（压）捆机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14.青（黄）饲料收获机</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六、畜禽产品采集储运设备</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（九）畜禽产品采集设备</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15.挤奶机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16.生鲜乳速冷设备</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17.散装乳冷藏罐</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（十）畜禽产品储运设备</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18.储奶罐</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七、粮油糖初加工机械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（十一）粮食初加工机械</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19.谷物（粮食）干燥机</w:t>
      </w:r>
    </w:p>
    <w:p>
      <w:pPr>
        <w:spacing w:line="600" w:lineRule="exact"/>
        <w:ind w:firstLine="640" w:firstLineChars="200"/>
        <w:rPr>
          <w:rFonts w:hint="eastAsia" w:ascii="黑体" w:hAnsi="黑体" w:eastAsia="黑体" w:cs="方正仿宋_GBK"/>
          <w:color w:val="000000"/>
          <w:sz w:val="32"/>
          <w:szCs w:val="32"/>
        </w:rPr>
      </w:pPr>
      <w:r>
        <w:rPr>
          <w:rFonts w:hint="eastAsia" w:ascii="黑体" w:hAnsi="黑体" w:eastAsia="黑体" w:cs="方正仿宋_GBK"/>
          <w:color w:val="000000"/>
          <w:sz w:val="32"/>
          <w:szCs w:val="32"/>
        </w:rPr>
        <w:t>八、农用动力机械</w:t>
      </w:r>
    </w:p>
    <w:p>
      <w:pPr>
        <w:spacing w:line="600" w:lineRule="exact"/>
        <w:ind w:firstLine="642" w:firstLineChars="200"/>
        <w:rPr>
          <w:rFonts w:hint="eastAsia" w:ascii="楷体_GB2312" w:hAnsi="Times New Roman" w:eastAsia="楷体_GB2312" w:cs="方正仿宋_GBK"/>
          <w:b/>
          <w:color w:val="000000"/>
          <w:sz w:val="32"/>
          <w:szCs w:val="32"/>
        </w:rPr>
      </w:pPr>
      <w:r>
        <w:rPr>
          <w:rFonts w:hint="eastAsia" w:ascii="楷体_GB2312" w:hAnsi="Times New Roman" w:eastAsia="楷体_GB2312" w:cs="方正仿宋_GBK"/>
          <w:b/>
          <w:color w:val="000000"/>
          <w:sz w:val="32"/>
          <w:szCs w:val="32"/>
        </w:rPr>
        <w:t>（十二）拖拉机</w:t>
      </w:r>
    </w:p>
    <w:p>
      <w:pPr>
        <w:spacing w:line="600" w:lineRule="exact"/>
        <w:ind w:firstLine="640" w:firstLineChars="200"/>
        <w:rPr>
          <w:rFonts w:hint="eastAsia" w:ascii="仿宋_GB2312" w:hAnsi="Times New Roman" w:eastAsia="仿宋_GB2312" w:cs="方正仿宋_GBK"/>
          <w:color w:val="000000"/>
          <w:sz w:val="32"/>
          <w:szCs w:val="32"/>
        </w:rPr>
      </w:pPr>
      <w:r>
        <w:rPr>
          <w:rFonts w:hint="eastAsia" w:ascii="仿宋_GB2312" w:hAnsi="Times New Roman" w:eastAsia="仿宋_GB2312" w:cs="方正仿宋_GBK"/>
          <w:color w:val="000000"/>
          <w:sz w:val="32"/>
          <w:szCs w:val="32"/>
        </w:rPr>
        <w:t>20.轮式拖拉机</w:t>
      </w:r>
    </w:p>
    <w:p>
      <w:pPr>
        <w:spacing w:line="600" w:lineRule="exact"/>
        <w:ind w:firstLine="640" w:firstLineChars="200"/>
        <w:rPr>
          <w:rFonts w:ascii="仿宋_GB2312" w:eastAsia="仿宋_GB2312"/>
          <w:color w:val="000000"/>
        </w:rPr>
        <w:sectPr>
          <w:pgSz w:w="11906" w:h="16838"/>
          <w:pgMar w:top="2098" w:right="1474" w:bottom="1985" w:left="1588" w:header="851" w:footer="992" w:gutter="0"/>
          <w:cols w:space="720" w:num="1"/>
          <w:docGrid w:type="lines" w:linePitch="436" w:charSpace="0"/>
        </w:sectPr>
      </w:pPr>
      <w:r>
        <w:rPr>
          <w:rFonts w:hint="eastAsia" w:ascii="仿宋_GB2312" w:hAnsi="Times New Roman" w:eastAsia="仿宋_GB2312" w:cs="方正仿宋_GBK"/>
          <w:color w:val="000000"/>
          <w:sz w:val="32"/>
          <w:szCs w:val="32"/>
        </w:rPr>
        <w:t>21.履带式拖拉机</w:t>
      </w:r>
    </w:p>
    <w:p>
      <w:pPr>
        <w:spacing w:line="600" w:lineRule="exact"/>
        <w:rPr>
          <w:rFonts w:hint="eastAsia" w:ascii="仿宋_GB2312" w:hAnsi="Times New Roman" w:eastAsia="仿宋_GB2312" w:cs="方正仿宋_GBK"/>
          <w:color w:val="000000"/>
          <w:sz w:val="32"/>
          <w:szCs w:val="32"/>
        </w:rPr>
      </w:pPr>
    </w:p>
    <w:p>
      <w:pPr>
        <w:spacing w:line="600" w:lineRule="exact"/>
        <w:jc w:val="center"/>
        <w:textAlignment w:val="baseline"/>
        <w:rPr>
          <w:rFonts w:hint="eastAsia" w:ascii="方正小标宋简体" w:hAnsi="黑体" w:eastAsia="方正小标宋简体" w:cs="方正仿宋_GBK"/>
          <w:sz w:val="40"/>
          <w:szCs w:val="44"/>
        </w:rPr>
      </w:pPr>
      <w:r>
        <w:rPr>
          <w:rFonts w:hint="eastAsia" w:ascii="方正小标宋简体" w:hAnsi="黑体" w:eastAsia="方正小标宋简体" w:cs="方正仿宋_GBK"/>
          <w:sz w:val="40"/>
          <w:szCs w:val="44"/>
        </w:rPr>
        <w:t>2021—2023 年全国通用类农业机械中央财政资金</w:t>
      </w:r>
    </w:p>
    <w:p>
      <w:pPr>
        <w:spacing w:line="600" w:lineRule="exact"/>
        <w:jc w:val="center"/>
        <w:textAlignment w:val="baseline"/>
        <w:rPr>
          <w:rFonts w:hint="eastAsia" w:ascii="方正小标宋简体" w:hAnsi="黑体" w:eastAsia="方正小标宋简体" w:cs="方正仿宋_GBK"/>
          <w:sz w:val="40"/>
          <w:szCs w:val="44"/>
        </w:rPr>
      </w:pPr>
      <w:r>
        <w:rPr>
          <w:rFonts w:hint="eastAsia" w:ascii="方正小标宋简体" w:hAnsi="黑体" w:eastAsia="方正小标宋简体" w:cs="方正仿宋_GBK"/>
          <w:sz w:val="40"/>
          <w:szCs w:val="44"/>
        </w:rPr>
        <w:t>最高补贴额一览表 （2022 修订）</w:t>
      </w:r>
    </w:p>
    <w:p>
      <w:pPr>
        <w:spacing w:line="600" w:lineRule="exact"/>
        <w:ind w:firstLine="640"/>
        <w:textAlignment w:val="baseline"/>
        <w:rPr>
          <w:rFonts w:ascii="仿宋_GB2312" w:hAnsi="Times New Roman" w:eastAsia="宋体" w:cs="方正仿宋_GBK"/>
          <w:sz w:val="32"/>
          <w:szCs w:val="32"/>
        </w:rPr>
      </w:pPr>
    </w:p>
    <w:tbl>
      <w:tblPr>
        <w:tblStyle w:val="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56"/>
        <w:gridCol w:w="756"/>
        <w:gridCol w:w="756"/>
        <w:gridCol w:w="650"/>
        <w:gridCol w:w="1585"/>
        <w:gridCol w:w="1910"/>
        <w:gridCol w:w="876"/>
        <w:gridCol w:w="12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01"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大类</w:t>
            </w:r>
          </w:p>
        </w:tc>
        <w:tc>
          <w:tcPr>
            <w:tcW w:w="447"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小类</w:t>
            </w:r>
          </w:p>
        </w:tc>
        <w:tc>
          <w:tcPr>
            <w:tcW w:w="448"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品目</w:t>
            </w:r>
          </w:p>
        </w:tc>
        <w:tc>
          <w:tcPr>
            <w:tcW w:w="391"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档次</w:t>
            </w:r>
          </w:p>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编号</w:t>
            </w:r>
          </w:p>
        </w:tc>
        <w:tc>
          <w:tcPr>
            <w:tcW w:w="936"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分档名称</w:t>
            </w:r>
          </w:p>
        </w:tc>
        <w:tc>
          <w:tcPr>
            <w:tcW w:w="1127"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基本配置与参数</w:t>
            </w:r>
          </w:p>
        </w:tc>
        <w:tc>
          <w:tcPr>
            <w:tcW w:w="520"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建议中央财政补贴额（元）</w:t>
            </w:r>
          </w:p>
        </w:tc>
        <w:tc>
          <w:tcPr>
            <w:tcW w:w="729" w:type="pct"/>
            <w:tcBorders>
              <w:top w:val="single" w:color="000000" w:sz="12" w:space="0"/>
            </w:tcBorders>
            <w:shd w:val="clear" w:color="auto" w:fill="FFFFFF"/>
            <w:noWrap w:val="0"/>
            <w:vAlign w:val="center"/>
          </w:tcPr>
          <w:p>
            <w:pPr>
              <w:spacing w:line="200" w:lineRule="exact"/>
              <w:jc w:val="center"/>
              <w:textAlignment w:val="center"/>
              <w:rPr>
                <w:rFonts w:ascii="黑体" w:hAnsi="黑体" w:eastAsia="黑体" w:cs="黑体"/>
                <w:bCs/>
                <w:color w:val="000000"/>
                <w:sz w:val="18"/>
                <w:szCs w:val="32"/>
              </w:rPr>
            </w:pPr>
            <w:r>
              <w:rPr>
                <w:rFonts w:hint="eastAsia" w:ascii="黑体" w:hAnsi="黑体" w:eastAsia="黑体" w:cs="黑体"/>
                <w:bCs/>
                <w:color w:val="000000"/>
                <w:sz w:val="18"/>
                <w:szCs w:val="32"/>
              </w:rPr>
              <w:t>备  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一、耕整地机械</w:t>
            </w: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（一）耕地机械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1.旋耕机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单轴1—1.5m旋耕机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单轴；1m≤耕幅＜1.5m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330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单轴1.5—2m旋耕机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单轴；1.5m≤耕幅＜2m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930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单轴2—2.5m旋耕机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单轴；2m≤耕幅＜2.5m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单轴2.5m及以上旋耕机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单轴；耕幅≥2.5m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双轴1—1.5m旋耕机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双轴；1m≤耕幅＜1.5m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双轴1.5—2m旋耕机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双轴；1.5m≤耕幅＜2m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双轴2—2.5m旋耕机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双轴；2m≤耕幅＜2.5m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双轴2.5m及以上旋耕机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双轴；耕幅≥2.5m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3400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1.2—2m履带自走式旋耕机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型式：履带自走式；1.2m≤耕幅＜2m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8900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为防止以小抵大等情况发生，建议从形式、发动机功率、最小离地间隙等方面增加基本配置和参数要求。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2m及以上履带自走式旋耕机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型式：履带自走式；耕幅≥2m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18100 </w:t>
            </w:r>
          </w:p>
        </w:tc>
        <w:tc>
          <w:tcPr>
            <w:tcW w:w="729" w:type="pct"/>
            <w:vMerge w:val="continue"/>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2.深松机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2—3铲凿铲式深松机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深松部件2、3个；深松铲结构型式：凿铲式；铲间距≥180mm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1400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凿铲式深松机档次的深松铲结构型式既包含凿铲式的单一型式，也包含凿铲式和偏柱式的混合型式，相关产品均可按深松部件和铲间距投档。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4—5铲凿铲式深松机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深松部件4、5个；深松铲结构型式：凿铲式；铲间距≥180mm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6铲及以上凿铲式深松机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深松部件6个及以上；深松铲结构型式：凿铲式；铲间距≥180mm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2—3铲偏柱式、全方位式深松机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深松部件2、3个；深松铲结构型式：偏柱式或全方位式；铲间距≥330mm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4—5铲偏柱式、全方位式深松机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深松部件4、5个；深松铲结构型式：偏柱式或全方位式；铲间距≥330mm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2700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6铲及以上偏柱式、全方位式深松机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深松部件6个及以上；深松铲结构型式：偏柱式或全方位式；铲间距≥330mm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二、种植施肥机械</w:t>
            </w: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（二）播种机械（可含施肥功能）</w:t>
            </w:r>
          </w:p>
        </w:tc>
        <w:tc>
          <w:tcPr>
            <w:tcW w:w="448" w:type="pct"/>
            <w:vMerge w:val="restart"/>
            <w:noWrap w:val="0"/>
            <w:vAlign w:val="center"/>
          </w:tcPr>
          <w:p>
            <w:pPr>
              <w:spacing w:line="200" w:lineRule="exact"/>
              <w:jc w:val="center"/>
              <w:textAlignment w:val="baseline"/>
              <w:rPr>
                <w:rFonts w:ascii="宋体" w:hAnsi="宋体" w:eastAsia="宋体" w:cs="仿宋"/>
                <w:color w:val="000000"/>
                <w:sz w:val="18"/>
                <w:szCs w:val="18"/>
              </w:rPr>
            </w:pPr>
            <w:r>
              <w:rPr>
                <w:rFonts w:hint="eastAsia" w:ascii="宋体" w:hAnsi="宋体" w:eastAsia="宋体" w:cs="仿宋"/>
                <w:color w:val="000000"/>
                <w:sz w:val="18"/>
                <w:szCs w:val="18"/>
              </w:rPr>
              <w:t>3.条播机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5.1</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6行及以下免耕条播机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播种行数≤6行；作业幅宽≥1m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1100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5.2</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7—11行免耕条播机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7行≤播种行数≤11行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5.3</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12—18行免耕条播机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12行≤播种行数≤18行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5.4</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19—24行免耕条播机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19行≤播种行数≤24行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5.5</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25行及以上免耕条播机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播种行数≥25行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4.穴播机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2—3行穴播机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播种行数2、3行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630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播种行数4、5行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6行及以上穴播机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播种行数≥6行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2—3行免耕穴播机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普通排种器；播种行数2、3行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990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4—5行免耕穴播机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普通排种器；播种行数4、5行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6行及以上免耕穴播机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普通排种器；播种行数≥6行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5.单粒（精密）播种机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2—3行机械式精量播种机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结构型式：机械式；播种行数2、3行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790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4—5行机械式精量播种机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结构型式：机械式；播种行数4、5行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6—10行机械式精量播种机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结构型式：机械式；6行≤播种行数≤10行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11行及以上机械式精量播种机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结构型式：机械式；播种行数≥11行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2—3行气力式精量播种机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结构型式：气力式；播种行数2、3行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4—5行气力式精量播种机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结构型式：气力式；播种行数4、5行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6—10行气力式精量播种机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结构型式：气力式；6行≤播种行数≤10行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4800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11行及以上气力式精量播种机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结构型式：气力式；播种行数≥11行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2—3行免耕精量播种机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精量排种器；播种行数2、3行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1000 </w:t>
            </w:r>
          </w:p>
        </w:tc>
        <w:tc>
          <w:tcPr>
            <w:tcW w:w="729" w:type="pct"/>
            <w:vMerge w:val="restart"/>
            <w:noWrap w:val="0"/>
            <w:vAlign w:val="center"/>
          </w:tcPr>
          <w:p>
            <w:pPr>
              <w:spacing w:line="200" w:lineRule="exact"/>
              <w:jc w:val="center"/>
              <w:textAlignment w:val="baseline"/>
              <w:rPr>
                <w:rFonts w:hint="eastAsia" w:ascii="宋体" w:hAnsi="宋体" w:eastAsia="宋体" w:cs="仿宋"/>
                <w:b/>
                <w:bCs/>
                <w:color w:val="FF0000"/>
                <w:sz w:val="18"/>
                <w:szCs w:val="18"/>
              </w:rPr>
            </w:pPr>
            <w:r>
              <w:rPr>
                <w:rFonts w:hint="eastAsia" w:ascii="宋体" w:hAnsi="宋体" w:eastAsia="宋体" w:cs="仿宋"/>
                <w:color w:val="000000"/>
                <w:sz w:val="18"/>
                <w:szCs w:val="18"/>
              </w:rPr>
              <w:t>精量排种器包括气力式和达到精量要求的指夹式，其他列为普通型式。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5.10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4—5行免耕精量播种机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精量排种器；播种行数4、5行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 </w:t>
            </w:r>
          </w:p>
        </w:tc>
        <w:tc>
          <w:tcPr>
            <w:tcW w:w="729" w:type="pct"/>
            <w:vMerge w:val="continue"/>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6行及以上免耕精量播种机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精量排种器；播种行数≥6行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5200 </w:t>
            </w:r>
          </w:p>
        </w:tc>
        <w:tc>
          <w:tcPr>
            <w:tcW w:w="729" w:type="pct"/>
            <w:vMerge w:val="continue"/>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（三）栽植机械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6.插秧机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4行手扶步进式水稻插秧机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手扶步进式；4行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6行及以上手扶步进式水稻插秧机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手扶步进式；6行及以上</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6行及以上独轮乘坐式水稻插秧机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独轮乘坐式；6行及以上</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4—5行四轮乘坐式水稻插秧机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四轮乘坐式；4、5行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6—7行四轮乘坐式水稻插秧机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四轮乘坐式；6、7行</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30000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8行及以上四轮乘坐式水稻插秧机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四轮乘坐式；8行及以上</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37400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三、田间管理机械</w:t>
            </w: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（四）植保机械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7.喷雾机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4—12m悬挂式喷杆喷雾机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4m≤喷杆长度＜12m；药箱≥400L；型式：悬挂式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780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12—18m悬挂式喷杆喷雾机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12m≤喷杆长度＜18m；药箱≥600L；型式：悬挂式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18m及以上悬挂式喷杆喷雾机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喷杆长度≥18m；药箱≥800L；型式：悬挂式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18m及以上牵引式喷杆喷雾机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喷杆长度≥18m；药箱≥2000L；型式：牵引式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7700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11—18马力自走式两轮转向喷杆喷雾机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11马力＜功率＜18马力；药箱≥200L；喷杆长度≥8m；离地间隙≥0.8m；型式：自走式；两轮驱动、四轮驱动；两轮转向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18—50马力自走式两轮转向喷杆喷雾机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18马力≤功率＜50马力；药箱≥400L；喷杆长度≥8m；离地间隙≥0.8m；型式：自走式；两轮驱动、四轮驱动；两轮转向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50—100马力自走式两轮转向喷杆喷雾机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50马力≤功率＜100马力；药箱≥700L；喷杆长度≥10m；离地间隙≥0.8m；型式：自走式；两轮驱动、四轮驱动；两轮转向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14400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100马力及以上自走式两轮转向喷杆喷雾机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功率≥100马力；药箱≥1000L；喷杆长度≥20m；离地间隙≥0.8m；型式：自走式；两轮驱动、四轮驱动；两轮转向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20200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11—18马力自走式四轮转向喷杆喷雾机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11马力＜功率＜18马力；药箱≥200L；喷杆长度≥8m；离地间隙≥0.8m；型式：自走式；四轮驱动；四轮转向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7.10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18—50马力自走式四轮转向喷杆喷雾机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18马力≤功率＜50马力；药箱≥400L；喷杆长度≥8m；离地间隙≥0.8m；型式：自走式；四轮驱动；四轮转向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15700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50—100马力自走式四轮转向喷杆喷雾机</w:t>
            </w:r>
          </w:p>
        </w:tc>
        <w:tc>
          <w:tcPr>
            <w:tcW w:w="1127" w:type="pct"/>
            <w:noWrap w:val="0"/>
            <w:vAlign w:val="center"/>
          </w:tcPr>
          <w:p>
            <w:pPr>
              <w:spacing w:line="200" w:lineRule="exact"/>
              <w:textAlignment w:val="center"/>
              <w:rPr>
                <w:rFonts w:hint="eastAsia" w:ascii="宋体" w:hAnsi="宋体" w:eastAsia="宋体" w:cs="仿宋"/>
                <w:color w:val="000000"/>
                <w:spacing w:val="-6"/>
                <w:sz w:val="18"/>
                <w:szCs w:val="18"/>
              </w:rPr>
            </w:pPr>
            <w:r>
              <w:rPr>
                <w:rFonts w:hint="eastAsia" w:ascii="宋体" w:hAnsi="宋体" w:eastAsia="宋体" w:cs="仿宋"/>
                <w:color w:val="000000"/>
                <w:spacing w:val="-6"/>
                <w:sz w:val="18"/>
                <w:szCs w:val="18"/>
              </w:rPr>
              <w:t>50马力≤功率＜100马力；药箱≥700L；喷杆长度≥10m；离地间隙≥0.8m；型式：自走式；四轮驱动；四轮转向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100马力及以上自走式四轮转向喷杆喷雾机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功率≥100马力；药箱≥1000L；喷杆长度≥20m；离地间隙≥0.8m；型式：自走式；四轮驱动；四轮转向</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8.植保无人驾驶航空器</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10—20L多旋翼植保无人驾驶航空器</w:t>
            </w:r>
          </w:p>
        </w:tc>
        <w:tc>
          <w:tcPr>
            <w:tcW w:w="1127" w:type="pct"/>
            <w:noWrap w:val="0"/>
            <w:vAlign w:val="center"/>
          </w:tcPr>
          <w:p>
            <w:pPr>
              <w:spacing w:line="200" w:lineRule="exact"/>
              <w:textAlignment w:val="center"/>
              <w:rPr>
                <w:rFonts w:hint="eastAsia" w:ascii="宋体" w:hAnsi="宋体" w:eastAsia="宋体" w:cs="仿宋"/>
                <w:color w:val="000000"/>
                <w:spacing w:val="-6"/>
                <w:sz w:val="18"/>
                <w:szCs w:val="18"/>
              </w:rPr>
            </w:pPr>
            <w:r>
              <w:rPr>
                <w:rFonts w:hint="eastAsia" w:ascii="宋体" w:hAnsi="宋体" w:eastAsia="宋体" w:cs="仿宋"/>
                <w:color w:val="000000"/>
                <w:spacing w:val="-6"/>
                <w:sz w:val="18"/>
                <w:szCs w:val="18"/>
              </w:rPr>
              <w:t>10L≤药液箱额定容量＜20L；多旋翼；电动、油动、油电混动；电动须配置智能电池系统，含智能电池2组及以上；具有避障系统；具有RTK的高精度卫星导航定位系统；具有电子围栏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1.多旋翼植保无人驾驶航空器是由两个以上旋翼（含两个）组成，并通过多个旋翼在空气中旋转产生升力和拉力实现飞行并进行施药作业的无人飞机。</w:t>
            </w:r>
            <w:r>
              <w:rPr>
                <w:rFonts w:hint="eastAsia" w:ascii="宋体" w:hAnsi="宋体" w:eastAsia="宋体" w:cs="仿宋"/>
                <w:color w:val="000000"/>
                <w:sz w:val="18"/>
                <w:szCs w:val="18"/>
              </w:rPr>
              <w:br w:type="textWrapping"/>
            </w:r>
            <w:r>
              <w:rPr>
                <w:rFonts w:hint="eastAsia" w:ascii="宋体" w:hAnsi="宋体" w:eastAsia="宋体" w:cs="仿宋"/>
                <w:color w:val="000000"/>
                <w:sz w:val="18"/>
                <w:szCs w:val="18"/>
              </w:rPr>
              <w:t>2.智能电池系统由智能电池和智能电池充电器组成，具备过充保护、过放保护、短路保护和充放电使用次数显示等功能。</w:t>
            </w:r>
            <w:r>
              <w:rPr>
                <w:rFonts w:hint="eastAsia" w:ascii="宋体" w:hAnsi="宋体" w:eastAsia="宋体" w:cs="仿宋"/>
                <w:color w:val="000000"/>
                <w:sz w:val="18"/>
                <w:szCs w:val="18"/>
              </w:rPr>
              <w:br w:type="textWrapping"/>
            </w:r>
            <w:r>
              <w:rPr>
                <w:rFonts w:hint="eastAsia" w:ascii="宋体" w:hAnsi="宋体" w:eastAsia="宋体" w:cs="仿宋"/>
                <w:color w:val="000000"/>
                <w:sz w:val="18"/>
                <w:szCs w:val="18"/>
              </w:rPr>
              <w:t>3.避障系统是指通过雷达或多目视觉等传感器主动检测障碍物并能实时归避的系统，通常有前避障、前后避障或绕障，不含使用航线规划绕障。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20—30L多旋翼植保无人驾驶航空器</w:t>
            </w:r>
          </w:p>
        </w:tc>
        <w:tc>
          <w:tcPr>
            <w:tcW w:w="1127" w:type="pct"/>
            <w:noWrap w:val="0"/>
            <w:vAlign w:val="center"/>
          </w:tcPr>
          <w:p>
            <w:pPr>
              <w:spacing w:line="200" w:lineRule="exact"/>
              <w:textAlignment w:val="center"/>
              <w:rPr>
                <w:rFonts w:hint="eastAsia" w:ascii="宋体" w:hAnsi="宋体" w:eastAsia="宋体" w:cs="仿宋"/>
                <w:color w:val="000000"/>
                <w:spacing w:val="-6"/>
                <w:sz w:val="18"/>
                <w:szCs w:val="18"/>
              </w:rPr>
            </w:pPr>
            <w:r>
              <w:rPr>
                <w:rFonts w:hint="eastAsia" w:ascii="宋体" w:hAnsi="宋体" w:eastAsia="宋体" w:cs="仿宋"/>
                <w:color w:val="000000"/>
                <w:spacing w:val="-6"/>
                <w:sz w:val="18"/>
                <w:szCs w:val="18"/>
              </w:rPr>
              <w:t>20L≤药液箱额定容量＜30L；多旋翼；电动、油动、油电混动；电动须配置智能电池系统，含智能电池2组及以上；具有避障系统；具有RTK的高精度卫星导航定位系统；具有电子围栏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30L及以上多旋翼植保无人驾驶航空器</w:t>
            </w:r>
          </w:p>
        </w:tc>
        <w:tc>
          <w:tcPr>
            <w:tcW w:w="1127" w:type="pct"/>
            <w:noWrap w:val="0"/>
            <w:vAlign w:val="center"/>
          </w:tcPr>
          <w:p>
            <w:pPr>
              <w:spacing w:line="200" w:lineRule="exact"/>
              <w:textAlignment w:val="center"/>
              <w:rPr>
                <w:rFonts w:hint="eastAsia" w:ascii="宋体" w:hAnsi="宋体" w:eastAsia="宋体" w:cs="仿宋"/>
                <w:color w:val="000000"/>
                <w:spacing w:val="-6"/>
                <w:sz w:val="18"/>
                <w:szCs w:val="18"/>
              </w:rPr>
            </w:pPr>
            <w:r>
              <w:rPr>
                <w:rFonts w:hint="eastAsia" w:ascii="宋体" w:hAnsi="宋体" w:eastAsia="宋体" w:cs="仿宋"/>
                <w:color w:val="000000"/>
                <w:spacing w:val="-6"/>
                <w:sz w:val="18"/>
                <w:szCs w:val="18"/>
              </w:rPr>
              <w:t>药液箱额定容量≥30L；多旋翼；电动、油动、油电混动；电动须配置智能电池系统，含智能电池2组及以上；具有避障系统；具有RTK的高精度卫星导航定位系统；具有电子围栏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08"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15—25L单旋翼植保无人驾驶航空器</w:t>
            </w:r>
          </w:p>
        </w:tc>
        <w:tc>
          <w:tcPr>
            <w:tcW w:w="1127" w:type="pct"/>
            <w:noWrap w:val="0"/>
            <w:vAlign w:val="center"/>
          </w:tcPr>
          <w:p>
            <w:pPr>
              <w:spacing w:line="200" w:lineRule="exact"/>
              <w:textAlignment w:val="center"/>
              <w:rPr>
                <w:rFonts w:hint="eastAsia" w:ascii="宋体" w:hAnsi="宋体" w:eastAsia="宋体" w:cs="仿宋"/>
                <w:color w:val="000000"/>
                <w:spacing w:val="-6"/>
                <w:sz w:val="18"/>
                <w:szCs w:val="18"/>
              </w:rPr>
            </w:pPr>
            <w:r>
              <w:rPr>
                <w:rFonts w:hint="eastAsia" w:ascii="宋体" w:hAnsi="宋体" w:eastAsia="宋体" w:cs="仿宋"/>
                <w:color w:val="000000"/>
                <w:spacing w:val="-6"/>
                <w:sz w:val="18"/>
                <w:szCs w:val="18"/>
              </w:rPr>
              <w:t>15L≤药液箱额定容量＜25L；单旋翼；电动、油动、油电混动；电动须配置智能电池系统，含智能电池2组及以上；具有避障系统；具有RTK的高精度卫星导航定位系统；具有电子围栏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08"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25L及以上单旋翼植保无人驾驶航空器</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药液箱额定容量≥25L；单旋翼；电动、油动、油电混动；电动须配置智能电池系统，含智能电池2组及以上；具有避障系统；具有RTK的高精度卫星导航定位系统；具有电子围栏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6000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四、收获机械</w:t>
            </w: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（五）粮食作物收获机械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9.谷物联合收割机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2—3kg/s自走轮式谷物联合收割机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2kg/s≤喂入量＜3kg/s；自走轮式；喂入方式：全喂入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11700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3—4kg/s自走轮式谷物联合收割机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3kg/s≤喂入量＜4kg/s；自走轮式；喂入方式：全喂入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12900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4—5kg/s自走轮式谷物联合收割机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4kg/s≤喂入量＜5kg/s；自走轮式；喂入方式：全喂入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13500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5—6kg/s自走轮式谷物联合收割机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5kg/s≤喂入量＜6kg/s；自走轮式；喂入方式：全喂入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35600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6—7kg/s自走轮式谷物联合收割机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6kg/s≤喂入量＜7kg/s；自走轮式；喂入方式：全喂入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37900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7kg/s及以上自走轮式谷物联合收割机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喂入量≥7kg/s；自走轮式；喂入方式：全喂入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40300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0.6—1kg/s自走履带式谷物联合收割机（全喂入）,包含1—1.5kg/s自走履带式水稻联合收割机（全喂入）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0.6kg/s≤喂入量＜1kg/s，1kg/s≤水稻机喂入量＜1.5kg/s；自走履带式；喂入方式：全喂入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7500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1—1.5kg/s自走履带式谷物联合收割机（全喂入）,包含1.5—2.1kg/s自走履带式水稻联合收割机（全喂入）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1kg/s≤喂入量＜1.5kg/s，1.5kg/s≤水稻机喂入量＜2.1kg/s；自走履带式；喂入方式：全喂入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9200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1.5—2.1kg/s自走履带式谷物联合收割机（全喂入）,包含2.1—3kg/s自走履带式水稻联合收割机（全喂入）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1.5kg/s≤喂入量＜2.1kg/s，2.1kg/s≤水稻机喂入量＜3kg/s；自走履带式；喂入方式：全喂入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9.10</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2.1—3kg/s自走履带式谷物联合收割机（全喂入）,包含3—4kg/s自走履带式水稻联合收割机（全喂入）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2.1kg/s≤喂入量＜3kg/s，3kg/s≤水稻机喂入量＜4kg/s；自走履带式；喂入方式：全喂入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3—4kg/s自走履带式谷物联合收割机（全喂入）,包含4kg/s及以上自走履带式水稻联合收割机（全喂入）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3kg/s≤喂入量＜4kg/s，水稻机喂入量≥4kg/s；自走履带式；喂入方式：全喂入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28800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9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4kg/s及以上自走履带式谷物联合收割机（全喂入）</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喂入量≥4kg/s；自走履带式；喂入方式：全喂入</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3行35马力及以上半喂入联合收割机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收获行数：3行；喂入方式：半喂入；功率≥35马力</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9.14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4行及以上35马力及以上半喂入联合收割机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收获行数≥4行；喂入方式：半喂入；功率≥35马力</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50000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10.玉米收获机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2行摘穗剥皮型自走式玉米收获机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2行割台；1m≤幅宽＜1.6m；型式：自走式（摘穗剥皮型）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3行摘穗剥皮型自走式玉米收获机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3行割台；1.6m≤幅宽＜2.2m；型式：自走式（摘穗剥皮型）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38400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4行摘穗剥皮型自走式玉米收获机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4行割台；2.2m≤幅宽＜2.8m；型式：自走式（摘穗剥皮型）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55800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5行及以上摘穗剥皮型自走式玉米收获机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5行及以上割台；幅宽≥2.8m；型式：自走式（摘穗剥皮型）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67600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3行及以上摘穗剥皮型自走式玉米收获机（窄行距）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3行及以上割台；1m≤幅宽＜1.6m；型式：自走式（摘穗剥皮型）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4行及以上摘穗剥皮型自走式玉米收获机（窄行距）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4行及以上割台；1.6m≤幅宽＜2.2m；型式：自走式（摘穗剥皮型）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40700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5行及以上摘穗剥皮型自走式玉米收获机（窄行距）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5行及以上割台；2.2m≤幅宽＜2.8m；型式：自走式（摘穗剥皮型）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55800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3行自走式玉米籽粒联合收获机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3行割台；工作幅宽＜2.2m；型式：自走式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32000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4行自走式玉米籽粒联合收获机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4行割台；2.2m≤工作幅宽＜2.8m；型式：自走式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42900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10.10</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5行及以上自走式玉米籽粒联合收获机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72100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5行及以上自走式玉米籽粒联合收获机（窄行距）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5行及以上割台；2.2m≤工作幅宽＜2.8m；型式：自走式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42900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center"/>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2行穗茎兼收玉米收获机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2行割台；1m≤工作幅宽＜1.6m；型式：自走式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3行穗茎兼收玉米收获机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3行割台；1.6m≤工作幅宽＜2.2m；型式：自走式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38700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4行穗茎兼收玉米收获机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4行割台；2.2m≤工作幅宽＜2.8m；型式：自走式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56300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5行及以上穗茎兼收玉米收获机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72100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3行及以上穗茎兼收玉米收获机（窄行距）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3行及以上割台；1m≤工作幅宽＜1.6m；型式：自走式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26800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4行及以上穗茎兼收玉米收获机（窄行距）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4行及以上割台；1.6m≤工作幅宽＜2.2m；型式：自走式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10.18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5行及以上穗茎兼收玉米收获机（窄行距）</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5行及以上割台；2.2m≤工作幅宽＜2.8m；型式：自走式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61000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（六）油料作物收获机械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11.油菜籽收获机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0.6—1kg/s自走履带式油菜籽收获机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0.6kg/s≤喂入量＜1kg/s；自走履带式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7500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1—1.5kg/s自走履带式油菜籽收获机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1kg/s≤喂入量＜1.5kg/s；自走履带式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9200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1.5—2.1kg/s自走履带式油菜籽收获机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1.5kg/s≤喂入量＜2.1kg/s；自走履带式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13800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2.1—3kg/s自走履带式油菜籽收获机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2.1kg/s≤喂入量＜3kg/s；自走履带式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3—4kg/s自走履带式油菜籽收获机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3kg/s≤喂入量＜4kg/s；自走履带式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28800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4kg/s及以上自走履带式油菜籽收获机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喂入量≥4kg/s；自走履带式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2—3kg/s自走轮式油菜籽收获机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2kg/s≤喂入量＜3kg/s；自走轮式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11700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3—4kg/s自走轮式油菜籽收获机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3kg/s≤喂入量＜4kg/s；自走轮式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12900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4—5kg/s自走轮式油菜籽收获机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4kg/s≤喂入量＜5kg/s；自走轮式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13500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11.10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5—6kg/s自走轮式油菜籽收获机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5kg/s≤喂入量＜6kg/s；自走轮式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35600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6—7kg/s自走轮式油菜籽收获机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6kg/s≤喂入量＜7kg/s；自走轮式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37900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7kg/s及以上自走轮式油菜籽收获机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喂入量≥7kg/s；自走轮式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40300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（七）秸秆收集处理机械</w:t>
            </w:r>
          </w:p>
        </w:tc>
        <w:tc>
          <w:tcPr>
            <w:tcW w:w="448" w:type="pct"/>
            <w:vMerge w:val="restar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12.秸秆粉碎还田机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1—1.5m秸秆粉碎还田机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1m≤作业幅宽＜1.5m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1.5—2m秸秆粉碎还田机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1.5m≤作业幅宽＜2m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2—2.5m秸秆粉碎还田机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2m≤作业幅宽＜2.5m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tcBorders>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2.5m及以上秸秆粉碎还田机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作业幅宽≥2.5m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restart"/>
            <w:tcBorders>
              <w:top w:val="single" w:color="auto" w:sz="4" w:space="0"/>
            </w:tcBorders>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五、饲料（草）收获加工运输设备</w:t>
            </w:r>
          </w:p>
        </w:tc>
        <w:tc>
          <w:tcPr>
            <w:tcW w:w="447" w:type="pct"/>
            <w:vMerge w:val="restart"/>
            <w:tcBorders>
              <w:top w:val="single" w:color="auto" w:sz="4" w:space="0"/>
              <w:bottom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（八）饲料（草）收获机械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13.打（压）捆机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压缩室截面积（宽×高）0.102m</w:t>
            </w:r>
            <w:r>
              <w:rPr>
                <w:rFonts w:hint="eastAsia" w:ascii="宋体" w:hAnsi="宋体" w:eastAsia="宋体" w:cs="仿宋"/>
                <w:color w:val="000000"/>
                <w:sz w:val="18"/>
                <w:szCs w:val="18"/>
                <w:vertAlign w:val="superscript"/>
              </w:rPr>
              <w:t>2</w:t>
            </w:r>
            <w:r>
              <w:rPr>
                <w:rStyle w:val="5"/>
                <w:rFonts w:hint="default" w:ascii="宋体" w:hAnsi="宋体" w:eastAsia="宋体"/>
              </w:rPr>
              <w:t>及以上方捆捡拾压捆机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方捆；压缩室截面积（宽×高）≥0.102m</w:t>
            </w:r>
            <w:r>
              <w:rPr>
                <w:rFonts w:hint="eastAsia" w:ascii="宋体" w:hAnsi="宋体" w:eastAsia="宋体" w:cs="仿宋"/>
                <w:color w:val="000000"/>
                <w:sz w:val="16"/>
                <w:szCs w:val="18"/>
                <w:vertAlign w:val="superscript"/>
              </w:rPr>
              <w:t>2</w:t>
            </w:r>
            <w:r>
              <w:rPr>
                <w:rStyle w:val="5"/>
                <w:rFonts w:hint="default" w:ascii="宋体" w:hAnsi="宋体" w:eastAsia="宋体"/>
                <w:sz w:val="16"/>
              </w:rPr>
              <w:t>；打结器数量≥2个；捡拾宽度≥0.7m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压缩室截面积（宽×高）0.1344m</w:t>
            </w:r>
            <w:r>
              <w:rPr>
                <w:rFonts w:hint="eastAsia" w:ascii="宋体" w:hAnsi="宋体" w:eastAsia="宋体" w:cs="仿宋"/>
                <w:color w:val="000000"/>
                <w:sz w:val="18"/>
                <w:szCs w:val="18"/>
                <w:vertAlign w:val="superscript"/>
              </w:rPr>
              <w:t>2</w:t>
            </w:r>
            <w:r>
              <w:rPr>
                <w:rStyle w:val="5"/>
                <w:rFonts w:hint="default" w:ascii="宋体" w:hAnsi="宋体" w:eastAsia="宋体"/>
              </w:rPr>
              <w:t>及以上方捆捡拾压捆机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方捆；压缩室截面积（宽×高）≥0.1344m</w:t>
            </w:r>
            <w:r>
              <w:rPr>
                <w:rFonts w:hint="eastAsia" w:ascii="宋体" w:hAnsi="宋体" w:eastAsia="宋体" w:cs="仿宋"/>
                <w:color w:val="000000"/>
                <w:sz w:val="16"/>
                <w:szCs w:val="18"/>
                <w:vertAlign w:val="superscript"/>
              </w:rPr>
              <w:t>2</w:t>
            </w:r>
            <w:r>
              <w:rPr>
                <w:rStyle w:val="5"/>
                <w:rFonts w:hint="default" w:ascii="宋体" w:hAnsi="宋体" w:eastAsia="宋体"/>
                <w:sz w:val="16"/>
              </w:rPr>
              <w:t>；打结器数量≥2个；捡拾宽度≥1.2m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10800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压缩室截面积（宽×高）0.154m</w:t>
            </w:r>
            <w:r>
              <w:rPr>
                <w:rFonts w:hint="eastAsia" w:ascii="宋体" w:hAnsi="宋体" w:eastAsia="宋体" w:cs="仿宋"/>
                <w:color w:val="000000"/>
                <w:sz w:val="18"/>
                <w:szCs w:val="18"/>
                <w:vertAlign w:val="superscript"/>
              </w:rPr>
              <w:t>2</w:t>
            </w:r>
            <w:r>
              <w:rPr>
                <w:rStyle w:val="5"/>
                <w:rFonts w:hint="default" w:ascii="宋体" w:hAnsi="宋体" w:eastAsia="宋体"/>
              </w:rPr>
              <w:t>及以上方捆捡拾压捆机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方捆；压缩室截面积（宽×高）≥0.154m</w:t>
            </w:r>
            <w:r>
              <w:rPr>
                <w:rFonts w:hint="eastAsia" w:ascii="宋体" w:hAnsi="宋体" w:eastAsia="宋体" w:cs="仿宋"/>
                <w:color w:val="000000"/>
                <w:sz w:val="16"/>
                <w:szCs w:val="18"/>
                <w:vertAlign w:val="superscript"/>
              </w:rPr>
              <w:t>2</w:t>
            </w:r>
            <w:r>
              <w:rPr>
                <w:rStyle w:val="5"/>
                <w:rFonts w:hint="default" w:ascii="宋体" w:hAnsi="宋体" w:eastAsia="宋体"/>
                <w:sz w:val="16"/>
              </w:rPr>
              <w:t>；打结器数量≥2个；捡拾宽度≥1.7m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压缩室截面积（宽×高）0.162m</w:t>
            </w:r>
            <w:r>
              <w:rPr>
                <w:rFonts w:hint="eastAsia" w:ascii="宋体" w:hAnsi="宋体" w:eastAsia="宋体" w:cs="仿宋"/>
                <w:color w:val="000000"/>
                <w:sz w:val="18"/>
                <w:szCs w:val="18"/>
                <w:vertAlign w:val="superscript"/>
              </w:rPr>
              <w:t>2</w:t>
            </w:r>
            <w:r>
              <w:rPr>
                <w:rStyle w:val="5"/>
                <w:rFonts w:hint="default" w:ascii="宋体" w:hAnsi="宋体" w:eastAsia="宋体"/>
              </w:rPr>
              <w:t>及以上方捆捡拾压捆机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方捆；压缩室截面积（宽×高）≥0.162m</w:t>
            </w:r>
            <w:r>
              <w:rPr>
                <w:rFonts w:hint="eastAsia" w:ascii="宋体" w:hAnsi="宋体" w:eastAsia="宋体" w:cs="仿宋"/>
                <w:color w:val="000000"/>
                <w:sz w:val="16"/>
                <w:szCs w:val="18"/>
                <w:vertAlign w:val="superscript"/>
              </w:rPr>
              <w:t>2</w:t>
            </w:r>
            <w:r>
              <w:rPr>
                <w:rStyle w:val="5"/>
                <w:rFonts w:hint="default" w:ascii="宋体" w:hAnsi="宋体" w:eastAsia="宋体"/>
                <w:sz w:val="16"/>
              </w:rPr>
              <w:t>；打结器数量≥2个；捡拾宽度≥2.2m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13.5</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压缩室截面积（宽×高）0.1998m</w:t>
            </w:r>
            <w:r>
              <w:rPr>
                <w:rFonts w:hint="eastAsia" w:ascii="宋体" w:hAnsi="宋体" w:eastAsia="宋体" w:cs="仿宋"/>
                <w:color w:val="000000"/>
                <w:sz w:val="16"/>
                <w:szCs w:val="18"/>
                <w:vertAlign w:val="superscript"/>
              </w:rPr>
              <w:t>2</w:t>
            </w:r>
            <w:r>
              <w:rPr>
                <w:rStyle w:val="5"/>
                <w:rFonts w:hint="default" w:ascii="宋体" w:hAnsi="宋体" w:eastAsia="宋体"/>
                <w:sz w:val="16"/>
              </w:rPr>
              <w:t>及以上方捆捡拾压捆机（3个及以上打结器）</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方捆；压缩室截面积（宽×高）≥0.1998m</w:t>
            </w:r>
            <w:r>
              <w:rPr>
                <w:rFonts w:hint="eastAsia" w:ascii="宋体" w:hAnsi="宋体" w:eastAsia="宋体" w:cs="仿宋"/>
                <w:color w:val="000000"/>
                <w:sz w:val="16"/>
                <w:szCs w:val="18"/>
                <w:vertAlign w:val="superscript"/>
              </w:rPr>
              <w:t>2</w:t>
            </w:r>
            <w:r>
              <w:rPr>
                <w:rStyle w:val="5"/>
                <w:rFonts w:hint="default" w:ascii="宋体" w:hAnsi="宋体" w:eastAsia="宋体"/>
                <w:sz w:val="16"/>
              </w:rPr>
              <w:t>；打结器数量≥3个；捡拾宽度≥2.2m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13.6</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压缩室直径0.5m及以上圆捆捡拾压捆机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圆捆；压缩室直径≥0.5m；压缩室宽度≥0.7m；捡拾宽度≥0.7m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13.7</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压缩室直径0.8m及以上圆捆捡拾压捆机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圆捆；压缩室直径≥0.8m；压缩室宽度≥0.8m；捡拾宽度≥1.2m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13.8</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压缩室直径1m及以上圆捆捡拾压捆机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圆捆；压缩室直径≥1m；压缩室宽度≥1m；捡拾宽度≥1.7m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13.9</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压缩室直径1.2m及以上圆捆捡拾压捆机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圆捆；压缩室直径≥1.2m；压缩室宽度≥1.2m；捡拾宽度≥2.2m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13.10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压缩室直径0.52m及以上圆捆压捆机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圆捆；压缩室直径≥0.52m；压缩室宽度≥0.52m；功率≥4kW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压缩室截面积（宽×高）0.081m</w:t>
            </w:r>
            <w:r>
              <w:rPr>
                <w:rFonts w:hint="eastAsia" w:ascii="宋体" w:hAnsi="宋体" w:eastAsia="宋体" w:cs="仿宋"/>
                <w:color w:val="000000"/>
                <w:sz w:val="18"/>
                <w:szCs w:val="18"/>
                <w:vertAlign w:val="superscript"/>
              </w:rPr>
              <w:t>2</w:t>
            </w:r>
            <w:r>
              <w:rPr>
                <w:rStyle w:val="5"/>
                <w:rFonts w:hint="default" w:ascii="宋体" w:hAnsi="宋体" w:eastAsia="宋体"/>
              </w:rPr>
              <w:t>及以上方捆压捆机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方捆；压缩室截面积（宽×高）≥0.081m</w:t>
            </w:r>
            <w:r>
              <w:rPr>
                <w:rFonts w:hint="eastAsia" w:ascii="宋体" w:hAnsi="宋体" w:eastAsia="宋体" w:cs="仿宋"/>
                <w:color w:val="000000"/>
                <w:sz w:val="16"/>
                <w:szCs w:val="18"/>
                <w:vertAlign w:val="superscript"/>
              </w:rPr>
              <w:t>2</w:t>
            </w:r>
            <w:r>
              <w:rPr>
                <w:rStyle w:val="5"/>
                <w:rFonts w:hint="default" w:ascii="宋体" w:hAnsi="宋体" w:eastAsia="宋体"/>
                <w:sz w:val="16"/>
              </w:rPr>
              <w:t>；7.5kW≤功率＜15kW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13.12</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压缩室截面积（宽×高）0.105m</w:t>
            </w:r>
            <w:r>
              <w:rPr>
                <w:rFonts w:hint="eastAsia" w:ascii="宋体" w:hAnsi="宋体" w:eastAsia="宋体" w:cs="仿宋"/>
                <w:color w:val="000000"/>
                <w:sz w:val="16"/>
                <w:szCs w:val="18"/>
                <w:vertAlign w:val="superscript"/>
              </w:rPr>
              <w:t>2</w:t>
            </w:r>
            <w:r>
              <w:rPr>
                <w:rStyle w:val="5"/>
                <w:rFonts w:hint="default" w:ascii="宋体" w:hAnsi="宋体" w:eastAsia="宋体"/>
                <w:sz w:val="16"/>
              </w:rPr>
              <w:t>及以上方捆压捆机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方捆；压缩室截面积（宽×高）≥0.105m</w:t>
            </w:r>
            <w:r>
              <w:rPr>
                <w:rFonts w:hint="eastAsia" w:ascii="宋体" w:hAnsi="宋体" w:eastAsia="宋体" w:cs="仿宋"/>
                <w:color w:val="000000"/>
                <w:sz w:val="16"/>
                <w:szCs w:val="18"/>
                <w:vertAlign w:val="superscript"/>
              </w:rPr>
              <w:t>2</w:t>
            </w:r>
            <w:r>
              <w:rPr>
                <w:rStyle w:val="5"/>
                <w:rFonts w:hint="default" w:ascii="宋体" w:hAnsi="宋体" w:eastAsia="宋体"/>
                <w:sz w:val="16"/>
              </w:rPr>
              <w:t>；功率≥15kW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13.13</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压缩室截面积（宽×高）0.0936m</w:t>
            </w:r>
            <w:r>
              <w:rPr>
                <w:rFonts w:hint="eastAsia" w:ascii="宋体" w:hAnsi="宋体" w:eastAsia="宋体" w:cs="仿宋"/>
                <w:color w:val="000000"/>
                <w:sz w:val="16"/>
                <w:szCs w:val="18"/>
                <w:vertAlign w:val="superscript"/>
              </w:rPr>
              <w:t>2</w:t>
            </w:r>
            <w:r>
              <w:rPr>
                <w:rStyle w:val="5"/>
                <w:rFonts w:hint="default" w:ascii="宋体" w:hAnsi="宋体" w:eastAsia="宋体"/>
                <w:sz w:val="16"/>
              </w:rPr>
              <w:t>及以上无打结器自动套袋方捆捡拾压捆机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方捆；压缩室截面积（宽×高）≥0.0936m</w:t>
            </w:r>
            <w:r>
              <w:rPr>
                <w:rFonts w:hint="eastAsia" w:ascii="宋体" w:hAnsi="宋体" w:eastAsia="宋体" w:cs="仿宋"/>
                <w:color w:val="000000"/>
                <w:sz w:val="16"/>
                <w:szCs w:val="18"/>
                <w:vertAlign w:val="superscript"/>
              </w:rPr>
              <w:t>2</w:t>
            </w:r>
            <w:r>
              <w:rPr>
                <w:rStyle w:val="5"/>
                <w:rFonts w:hint="default" w:ascii="宋体" w:hAnsi="宋体" w:eastAsia="宋体"/>
                <w:sz w:val="16"/>
              </w:rPr>
              <w:t>；捡拾宽度≥1.7m；自动套袋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16300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15"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13.14</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压缩室截面积（宽×高）0.1344m</w:t>
            </w:r>
            <w:r>
              <w:rPr>
                <w:rFonts w:hint="eastAsia" w:ascii="宋体" w:hAnsi="宋体" w:eastAsia="宋体" w:cs="仿宋"/>
                <w:color w:val="000000"/>
                <w:sz w:val="16"/>
                <w:szCs w:val="18"/>
                <w:vertAlign w:val="superscript"/>
              </w:rPr>
              <w:t>2</w:t>
            </w:r>
            <w:r>
              <w:rPr>
                <w:rStyle w:val="5"/>
                <w:rFonts w:hint="default" w:ascii="宋体" w:hAnsi="宋体" w:eastAsia="宋体"/>
                <w:sz w:val="16"/>
              </w:rPr>
              <w:t>及以上无打结器自动套袋方捆捡拾压捆机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方捆；压缩室截面积（宽×高）≥0.1344m</w:t>
            </w:r>
            <w:r>
              <w:rPr>
                <w:rFonts w:hint="eastAsia" w:ascii="宋体" w:hAnsi="宋体" w:eastAsia="宋体" w:cs="仿宋"/>
                <w:color w:val="000000"/>
                <w:sz w:val="16"/>
                <w:szCs w:val="18"/>
                <w:vertAlign w:val="superscript"/>
              </w:rPr>
              <w:t>2</w:t>
            </w:r>
            <w:r>
              <w:rPr>
                <w:rStyle w:val="5"/>
                <w:rFonts w:hint="default" w:ascii="宋体" w:hAnsi="宋体" w:eastAsia="宋体"/>
                <w:sz w:val="16"/>
              </w:rPr>
              <w:t>；捡拾宽度≥2.2m；自动套袋</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压缩室直径1m及以上带割台自走式圆捆打捆机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圆捆；自走式；捡拾宽度≥1.7m；压缩室直径≥1m；压缩室宽度≥0.85m；捡拾器结构型式：圆盘式割台</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50000 </w:t>
            </w:r>
          </w:p>
        </w:tc>
        <w:tc>
          <w:tcPr>
            <w:tcW w:w="729"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6"/>
                <w:szCs w:val="18"/>
              </w:rPr>
              <w:t>工作部件和行走装置由自带发动机驱动，并且在行走过程中利用自带收获或捡拾台等部件对作物连续完成收获、打捆作业过程的机械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14.青（黄）饲料收获机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14.1</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0.9—1.1m悬挂单圆盘式青饲料收获机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悬挂单圆盘式；0.9m≤割幅＜1.1m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14.2</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1.1m及以上悬挂单圆盘式青饲料收获机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悬挂单圆盘式；割幅≥1.1m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8000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14.3</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0.9—1.1m悬挂双圆盘式青饲料收获机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悬挂双圆盘式；0.9m≤割幅＜1.1m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5400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14.4</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1.1—2.1m悬挂双圆盘式青饲料收获机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悬挂双圆盘式；1.1m≤割幅＜2.1m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9000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14.5</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2.1—2.2m悬挂双圆盘式青饲料收获机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悬挂双圆盘式；2.1m≤割幅＜2.2m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19700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14.6</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2.2m及以上悬挂双圆盘式青饲料收获机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悬挂双圆盘式；割幅≥2.2m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20600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1.6—1.9m悬挂其他式青饲料收获机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悬挂其他式；1.6m≤割幅＜1.9m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7700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割台切割器型式不包含甩刀（锤爪）式。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1.9—2.2m悬挂其他式青饲料收获机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悬挂其他式；1.9m≤割幅＜2.2m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8300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2.2m及以上悬挂其他式青饲料收获机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悬挂其他式；割幅≥2.2m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1.1m及以上牵引式青饲料收获机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牵引式；割幅≥1.1m</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6300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14.11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2—2.6m自走圆盘式青饲料收获机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自走圆盘式；2m≤割幅＜2.6；籽粒破碎机构：无或非对辊式；配套发动机功率≥110kW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63700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14.12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2—2.6m自走圆盘式青饲料收获机，带对辊式籽粒破碎机构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自走圆盘式；2m≤割幅＜2.6；籽粒破碎机构：对辊式；配套发动机功率≥115kW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73700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14.13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2.6m及以上自走圆盘式青饲料收获机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自走圆盘式；割幅≥2.6cm；籽粒破碎机构：无或非对辊式；配套发动机功率≥130kW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107200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14.14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2.6m及以上自走圆盘式青饲料收获机，带对辊式籽粒破碎机构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自走圆盘式；割幅≥2.6cm；籽粒破碎机构：对辊式；配套发动机功率≥150kW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117200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14.15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1.8—2.2m自走其他式青饲料收获机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自走其他式；1.8m≤割幅＜2.2m；籽粒破碎机构：无或非对辊式；配套发动机功率≥90kW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14.16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1.8—2.2m自走其他式青饲料收获机，带对辊式籽粒破碎机构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自走其他式；1.8m≤割幅＜2.2m；籽粒破碎机构：对辊式；配套发动机功率≥105kW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51300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14.17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2.2—2.6m自走其他式青饲料收获机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自走其他式；2.2m≤割幅＜2.6m；籽粒破碎机构：无或非对辊式；配套发动机功率≥115kW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53300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14.18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2.2—2.6m自走其他式青饲料收获机，带对辊式籽粒破碎机构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自走其他式；2.2m≤割幅＜2.6m；籽粒破碎机构：对辊式；配套发动机功率≥115kW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59300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14.19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2.6—2.9m自走其他式青饲料收获机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自走其他式；2.6m≤割幅＜2.9m；籽粒破碎机构：无或非对辊式；配套发动机功率≥150kW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63600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14.20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2.6—2.9m自走其他式青饲料收获机，带对辊式籽粒破碎机构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自走其他式；2.6m≤割幅＜2.9m；籽粒破碎机构：对辊式；配套发动机功率≥150kW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69600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14.21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2.9m及以上自走其他式青饲料收获机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自走其他式；割幅≥2.9m；籽粒破碎机构：无或非对辊式；配套发动机功率≥190kW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95900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14.22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2.9m及以上自走其他式青饲料收获机，带对辊式籽粒破碎机构</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自走其他式；割幅≥2.9m；籽粒破碎机构：对辊式；配套发动机功率≥215kW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107200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restart"/>
            <w:tcBorders>
              <w:top w:val="single" w:color="auto" w:sz="4" w:space="0"/>
            </w:tcBorders>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六、畜禽产品采集储运设备</w:t>
            </w:r>
          </w:p>
        </w:tc>
        <w:tc>
          <w:tcPr>
            <w:tcW w:w="447" w:type="pct"/>
            <w:vMerge w:val="restart"/>
            <w:tcBorders>
              <w:top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（九）畜禽产品采集设备</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15.挤奶机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1杯组手动移动式挤奶机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杯组数：1；脱杯方式：手动；型式：移动式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2杯组手动移动式挤奶机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杯组数：2；脱杯方式：手动；型式：移动式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15.3</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24—40杯组鱼骨式挤奶机</w:t>
            </w:r>
          </w:p>
        </w:tc>
        <w:tc>
          <w:tcPr>
            <w:tcW w:w="1127" w:type="pct"/>
            <w:noWrap w:val="0"/>
            <w:vAlign w:val="center"/>
          </w:tcPr>
          <w:p>
            <w:pPr>
              <w:spacing w:line="200" w:lineRule="exact"/>
              <w:textAlignment w:val="center"/>
              <w:rPr>
                <w:rFonts w:hint="eastAsia" w:ascii="宋体" w:hAnsi="宋体" w:eastAsia="宋体" w:cs="仿宋"/>
                <w:color w:val="000000"/>
                <w:sz w:val="15"/>
                <w:szCs w:val="18"/>
              </w:rPr>
            </w:pPr>
            <w:r>
              <w:rPr>
                <w:rFonts w:hint="eastAsia" w:ascii="宋体" w:hAnsi="宋体" w:eastAsia="宋体" w:cs="仿宋"/>
                <w:color w:val="000000"/>
                <w:sz w:val="15"/>
                <w:szCs w:val="18"/>
              </w:rPr>
              <w:t>24≤杯组数＜40；型式：鱼骨式；脉动器型式：电子；计量方式：电子计量；脱杯方式：自动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90900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15.4</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40杯组及以上鱼骨式挤奶机</w:t>
            </w:r>
          </w:p>
        </w:tc>
        <w:tc>
          <w:tcPr>
            <w:tcW w:w="1127" w:type="pct"/>
            <w:noWrap w:val="0"/>
            <w:vAlign w:val="center"/>
          </w:tcPr>
          <w:p>
            <w:pPr>
              <w:spacing w:line="200" w:lineRule="exact"/>
              <w:textAlignment w:val="center"/>
              <w:rPr>
                <w:rFonts w:hint="eastAsia" w:ascii="宋体" w:hAnsi="宋体" w:eastAsia="宋体" w:cs="仿宋"/>
                <w:color w:val="000000"/>
                <w:sz w:val="15"/>
                <w:szCs w:val="18"/>
              </w:rPr>
            </w:pPr>
            <w:r>
              <w:rPr>
                <w:rFonts w:hint="eastAsia" w:ascii="宋体" w:hAnsi="宋体" w:eastAsia="宋体" w:cs="仿宋"/>
                <w:color w:val="000000"/>
                <w:sz w:val="15"/>
                <w:szCs w:val="18"/>
              </w:rPr>
              <w:t>杯组数≥40；型式：鱼骨式；脉动器型式：电子；计量方式：电子计量；脱杯方式：自动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15.5</w:t>
            </w:r>
          </w:p>
        </w:tc>
        <w:tc>
          <w:tcPr>
            <w:tcW w:w="936"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16—20杯组并列式挤奶机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16≤杯组数＜20；型式：并列式；脉动器型式：电子；计量方式：电子计量；脱杯方式：自动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100000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20杯组及以上并列（转盘）式挤奶机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杯组数≥20；型式：并列（转盘）式；脉动器型式：电子；计量方式：电子计量；脱杯方式：自动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15.7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自动挤奶设备</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套杯时间≤120s</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noWrap w:val="0"/>
            <w:vAlign w:val="center"/>
          </w:tcPr>
          <w:p>
            <w:pPr>
              <w:spacing w:line="200" w:lineRule="exact"/>
              <w:jc w:val="center"/>
              <w:textAlignment w:val="baseline"/>
              <w:rPr>
                <w:rFonts w:ascii="宋体" w:hAnsi="宋体" w:eastAsia="宋体" w:cs="仿宋"/>
                <w:color w:val="000000"/>
                <w:sz w:val="18"/>
                <w:szCs w:val="18"/>
              </w:rPr>
            </w:pPr>
            <w:r>
              <w:rPr>
                <w:rFonts w:hint="eastAsia" w:ascii="宋体" w:hAnsi="宋体" w:eastAsia="宋体" w:cs="仿宋"/>
                <w:color w:val="000000"/>
                <w:sz w:val="18"/>
                <w:szCs w:val="18"/>
              </w:rPr>
              <w:t>16.生鲜乳速冷设备</w:t>
            </w: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16.1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速冷设备</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额定生产率≥1500L/h</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50000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baseline"/>
              <w:rPr>
                <w:rFonts w:ascii="宋体" w:hAnsi="宋体" w:eastAsia="宋体" w:cs="仿宋"/>
                <w:color w:val="000000"/>
                <w:sz w:val="18"/>
                <w:szCs w:val="18"/>
              </w:rPr>
            </w:pPr>
            <w:r>
              <w:rPr>
                <w:rFonts w:hint="eastAsia" w:ascii="宋体" w:hAnsi="宋体" w:eastAsia="宋体" w:cs="仿宋"/>
                <w:color w:val="000000"/>
                <w:sz w:val="18"/>
                <w:szCs w:val="18"/>
              </w:rPr>
              <w:t>17.散装乳冷藏罐</w:t>
            </w: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1000—3000L非全自动清洗冷藏罐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1000L≤容量＜3000L；清洗方式：非全自动清洗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3500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3000—6000L非全自动清洗冷藏罐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3000L≤容量＜6000L；清洗方式：非全自动清洗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6000L及以上非全自动清洗冷藏罐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容量≥6000L；清洗方式：非全自动清洗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19200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1000—3000L全自动清洗冷藏罐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1000L≤容量＜3000L；清洗方式：全自动清洗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3800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3000—6000L全自动清洗冷藏罐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3000L≤容量＜6000L；清洗方式：全自动清洗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10800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bottom w:val="single" w:color="auto" w:sz="4" w:space="0"/>
            </w:tcBorders>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ascii="宋体" w:hAnsi="宋体" w:eastAsia="宋体" w:cs="仿宋"/>
                <w:color w:val="000000"/>
                <w:sz w:val="18"/>
                <w:szCs w:val="18"/>
              </w:rPr>
            </w:pPr>
            <w:r>
              <w:rPr>
                <w:rFonts w:hint="eastAsia" w:ascii="宋体" w:hAnsi="宋体" w:eastAsia="宋体" w:cs="仿宋"/>
                <w:color w:val="000000"/>
                <w:sz w:val="18"/>
                <w:szCs w:val="18"/>
              </w:rPr>
              <w:t>17.6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6000L及以上全自动清洗冷藏罐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容量≥6000L；清洗方式：全自动清洗</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restart"/>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（十）畜禽产品储运设备</w:t>
            </w:r>
          </w:p>
        </w:tc>
        <w:tc>
          <w:tcPr>
            <w:tcW w:w="448" w:type="pct"/>
            <w:vMerge w:val="restart"/>
            <w:noWrap w:val="0"/>
            <w:vAlign w:val="center"/>
          </w:tcPr>
          <w:p>
            <w:pPr>
              <w:spacing w:line="200" w:lineRule="exact"/>
              <w:jc w:val="center"/>
              <w:textAlignment w:val="baseline"/>
              <w:rPr>
                <w:rFonts w:ascii="宋体" w:hAnsi="宋体" w:eastAsia="宋体" w:cs="仿宋"/>
                <w:color w:val="000000"/>
                <w:sz w:val="18"/>
                <w:szCs w:val="18"/>
              </w:rPr>
            </w:pPr>
            <w:r>
              <w:rPr>
                <w:rFonts w:hint="eastAsia" w:ascii="宋体" w:hAnsi="宋体" w:eastAsia="宋体" w:cs="仿宋"/>
                <w:color w:val="000000"/>
                <w:sz w:val="18"/>
                <w:szCs w:val="18"/>
              </w:rPr>
              <w:t>18.储奶罐</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3000—6000L贮奶罐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3000L≤容量＜6000L</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6000—12000L贮奶罐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6000L≤容量＜12000L</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14700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12000—20000L贮奶罐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12000L≤容量＜20000L</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17700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01" w:type="pct"/>
            <w:vMerge w:val="continue"/>
            <w:tcBorders>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bottom w:val="single" w:color="auto" w:sz="4" w:space="0"/>
            </w:tcBorders>
            <w:noWrap w:val="0"/>
            <w:vAlign w:val="center"/>
          </w:tcPr>
          <w:p>
            <w:pPr>
              <w:spacing w:line="200" w:lineRule="exact"/>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20000L及以上贮奶罐</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容量≥20000L</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20700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restart"/>
            <w:tcBorders>
              <w:top w:val="single" w:color="auto" w:sz="4" w:space="0"/>
              <w:bottom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七、粮油糖初加工机械</w:t>
            </w:r>
          </w:p>
        </w:tc>
        <w:tc>
          <w:tcPr>
            <w:tcW w:w="447" w:type="pct"/>
            <w:vMerge w:val="restart"/>
            <w:tcBorders>
              <w:top w:val="single" w:color="auto" w:sz="4" w:space="0"/>
              <w:bottom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（十一）粮食初加工机械</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19.谷物（粮食）干燥机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批处理量2—4t循环式谷物烘干机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2t≤</w:t>
            </w:r>
            <w:r>
              <w:rPr>
                <w:rStyle w:val="5"/>
                <w:rFonts w:hint="default" w:ascii="宋体" w:hAnsi="宋体" w:eastAsia="宋体"/>
              </w:rPr>
              <w:t>批处理量＜4t；循环式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批处理量4—10t循环式谷物烘干机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4t≤批处理量＜10t；循环式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15900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批处理量10—20t循环式谷物烘干机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10t≤批处理量＜20t；循环式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22600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批处理量20—30t循环式谷物烘干机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20t≤批处理量＜30t；循环式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29000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批处理量30t及以上循环式谷物烘干机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批处理量≥30t；循环式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46900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处理量20—50t/d连续式谷物烘干机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20t/d≤处理量＜50t/d；连续式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处理量50—100t/d连续式谷物烘干机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50t/d≤处理量＜100t/d；连续式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处理量100t/d及以上连续式谷物烘干机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处理量≥100t/d；连续式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69000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19.9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3—5t平床式谷物烘干机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3t≤装载量＜5t；平床式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5400 </w:t>
            </w:r>
          </w:p>
        </w:tc>
        <w:tc>
          <w:tcPr>
            <w:tcW w:w="729" w:type="pct"/>
            <w:noWrap w:val="0"/>
            <w:vAlign w:val="center"/>
          </w:tcPr>
          <w:p>
            <w:pPr>
              <w:spacing w:line="200" w:lineRule="exact"/>
              <w:jc w:val="center"/>
              <w:textAlignment w:val="baseline"/>
              <w:rPr>
                <w:rFonts w:hint="eastAsia" w:ascii="宋体" w:hAnsi="宋体" w:eastAsia="宋体" w:cs="仿宋"/>
                <w:b/>
                <w:bCs/>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top w:val="single" w:color="auto" w:sz="4" w:space="0"/>
              <w:bottom w:val="single" w:color="auto" w:sz="4"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19.10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5t及以上平床式谷物烘干机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装载量≥5t；平床式</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10300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restart"/>
            <w:tcBorders>
              <w:top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八、农用动力机械</w:t>
            </w:r>
          </w:p>
        </w:tc>
        <w:tc>
          <w:tcPr>
            <w:tcW w:w="447" w:type="pct"/>
            <w:vMerge w:val="restart"/>
            <w:tcBorders>
              <w:top w:val="single" w:color="auto" w:sz="4"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（十二）拖拉机</w:t>
            </w: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20.轮式拖拉机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20马力以下两轮驱动拖拉机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功率＜20马力；驱动方式：两轮驱动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不含皮带传动轮式拖拉机。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20马力≤功率＜30马力；驱动方式：两轮驱动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30—40马力两轮驱动拖拉机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30马力≤功率＜40马力；驱动方式：两轮驱动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6900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40—50马力两轮驱动拖拉机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40马力≤功率＜50马力；驱动方式：两轮驱动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7500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50—60马力两轮驱动拖拉机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50马力≤功率＜60马力；驱动方式：两轮驱动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8200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60—70马力两轮驱动拖拉机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60马力≤功率＜70马力；驱动方式：两轮驱动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70—80马力两轮驱动拖拉机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70马力≤功率＜80马力；驱动方式：两轮驱动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11300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80—90马力两轮驱动拖拉机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80马力≤功率＜90马力；驱动方式：两轮驱动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13600 </w:t>
            </w:r>
          </w:p>
        </w:tc>
        <w:tc>
          <w:tcPr>
            <w:tcW w:w="729" w:type="pct"/>
            <w:noWrap w:val="0"/>
            <w:vAlign w:val="center"/>
          </w:tcPr>
          <w:p>
            <w:pPr>
              <w:spacing w:line="200" w:lineRule="exact"/>
              <w:jc w:val="center"/>
              <w:textAlignment w:val="baseline"/>
              <w:rPr>
                <w:rFonts w:hint="eastAsia" w:ascii="宋体" w:hAnsi="宋体" w:eastAsia="宋体" w:cs="仿宋"/>
                <w:color w:val="0070C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90—100马力两轮驱动拖拉机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90马力≤功率＜100马力；驱动方式：两轮驱动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18400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20.10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100马力及以上两轮驱动拖拉机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功率≥100马力；驱动方式：两轮驱动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24100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20马力以下四轮驱动拖拉机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功率＜20马力；驱动方式：四轮驱动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2100 </w:t>
            </w:r>
          </w:p>
        </w:tc>
        <w:tc>
          <w:tcPr>
            <w:tcW w:w="729"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不含皮带传动轮式拖拉机。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20.12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6"/>
                <w:szCs w:val="18"/>
              </w:rPr>
              <w:t>20马力≤功率＜30马力；驱动方式：四轮驱动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6200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30—40马力四轮驱动拖拉机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30马力≤功率＜40马力；驱动方式：四轮驱动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9000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20.14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40—50马力四轮驱动拖拉机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40马力≤功率＜50马力；驱动方式：四轮驱动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9900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50—60马力四轮驱动拖拉机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50马力≤功率＜60马力；驱动方式：四轮驱动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10900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20.16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60—70马力四轮驱动拖拉机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6"/>
                <w:szCs w:val="18"/>
              </w:rPr>
            </w:pPr>
            <w:r>
              <w:rPr>
                <w:rFonts w:hint="eastAsia" w:ascii="宋体" w:hAnsi="宋体" w:eastAsia="宋体" w:cs="仿宋"/>
                <w:color w:val="000000"/>
                <w:sz w:val="16"/>
                <w:szCs w:val="18"/>
              </w:rPr>
              <w:t>60马力≤功率＜70马力；驱动方式：四轮驱动</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12000 </w:t>
            </w:r>
          </w:p>
        </w:tc>
        <w:tc>
          <w:tcPr>
            <w:tcW w:w="729" w:type="pct"/>
            <w:noWrap w:val="0"/>
            <w:vAlign w:val="center"/>
          </w:tcPr>
          <w:p>
            <w:pPr>
              <w:spacing w:line="200" w:lineRule="exact"/>
              <w:jc w:val="center"/>
              <w:textAlignment w:val="baseline"/>
              <w:rPr>
                <w:rFonts w:hint="eastAsia" w:ascii="宋体" w:hAnsi="宋体" w:eastAsia="宋体" w:cs="仿宋"/>
                <w:color w:val="FF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70—80马力四轮驱动拖拉机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70马力≤功率＜80马力；驱动方式：四轮驱动，</w:t>
            </w:r>
            <w:r>
              <w:rPr>
                <w:rFonts w:hint="eastAsia" w:ascii="宋体" w:hAnsi="宋体" w:eastAsia="宋体" w:cs="仿宋"/>
                <w:sz w:val="18"/>
                <w:szCs w:val="18"/>
              </w:rPr>
              <w:t>最小使用比质量≥38kg/kW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15300 </w:t>
            </w:r>
          </w:p>
        </w:tc>
        <w:tc>
          <w:tcPr>
            <w:tcW w:w="729" w:type="pct"/>
            <w:vMerge w:val="restart"/>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最小使用比质量（kg/kW）=最小使用质量/配套发动机标定功率。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20.18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80—90马力四轮驱动拖拉机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80马力≤功率＜90马力；驱动方式：四轮驱动；最小使用比质量≥39kg/kW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17900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20.19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80—90马力四轮驱动动力换挡拖拉机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80马力≤功率＜90马力；驱动方式：四轮驱动；换挡方式：部分动力换挡、动力换挡/换向、无级变速；最小使用比质量≥39kg/kW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20.20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90—100马力四轮驱动拖拉机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90马力≤功率＜100马力；驱动方式：四轮驱动；最小使用比质量≥39kg/kW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21500 </w:t>
            </w:r>
          </w:p>
        </w:tc>
        <w:tc>
          <w:tcPr>
            <w:tcW w:w="729" w:type="pct"/>
            <w:vMerge w:val="restart"/>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最小使用比质量（kg/kW）=最小使用质量/配套发动机标定功率。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90—100马力四轮驱动动力换挡拖拉机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90马力≤功率＜100马力；驱动方式：四轮驱动；换挡方式：部分动力换挡、动力换挡/换向、无级变速；最小使用比质量≥39kg/kW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24500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20.22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100—120马力四轮驱动拖拉机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100马力≤功率＜120马力；驱动方式：四轮驱动；最小使用比质量≥43kg/kW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23100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4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100—120马力四轮驱动动力换挡拖拉机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100马力≤功率＜120马力；驱动方式：四轮驱动；换挡方式：部分动力换挡、动力换挡/换向、无级变速；最小使用比质量≥43kg/kW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27500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4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20.24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120—140马力四轮驱动拖拉机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120马力≤功率＜140马力；驱动方式：四轮驱动；最小使用比质量≥43kg/kW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31900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47"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120—140马力四轮驱动动力换挡拖拉机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120马力≤功率＜140马力；驱动方式：四轮驱动；换挡方式：部分动力换挡、动力换挡/换向、无级变速；最小使用比质量≥43kg/kW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34900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20.26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140—160马力四轮驱动拖拉机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140马力≤功率＜160马力；驱动方式：四轮驱动；最小使用比质量≥43kg/kW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38800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140—160马力四轮驱动动力换挡拖拉机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140马力≤功率＜160马力；驱动方式：四轮驱动；换挡方式：部分动力换挡、动力换挡/换向、无级变速；最小使用比质量≥43kg/kW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42800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20.28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160—180马力四轮驱动拖拉机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160马力≤功率＜180马力；驱动方式：四轮驱动；最小使用比质量≥43kg/kW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45700 </w:t>
            </w:r>
          </w:p>
        </w:tc>
        <w:tc>
          <w:tcPr>
            <w:tcW w:w="729" w:type="pct"/>
            <w:vMerge w:val="restart"/>
            <w:noWrap w:val="0"/>
            <w:vAlign w:val="center"/>
          </w:tcPr>
          <w:p>
            <w:pPr>
              <w:spacing w:line="200" w:lineRule="exact"/>
              <w:jc w:val="center"/>
              <w:textAlignment w:val="baseline"/>
              <w:rPr>
                <w:rFonts w:hint="eastAsia" w:ascii="宋体" w:hAnsi="宋体" w:eastAsia="宋体" w:cs="仿宋"/>
                <w:color w:val="000000"/>
                <w:sz w:val="18"/>
                <w:szCs w:val="18"/>
              </w:rPr>
            </w:pPr>
            <w:r>
              <w:rPr>
                <w:rFonts w:hint="eastAsia" w:ascii="宋体" w:hAnsi="宋体" w:eastAsia="宋体" w:cs="仿宋"/>
                <w:color w:val="000000"/>
                <w:sz w:val="18"/>
                <w:szCs w:val="18"/>
              </w:rPr>
              <w:t>最小使用比质量（kg/kW）=最小使用质量/配套发动机标定功率。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20.29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160—180马力四轮驱动动力换挡拖拉机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160马力≤功率＜180马力；驱动方式：四轮驱动；换挡方式：部分动力换挡、动力换挡/换向、无级变速；最小使用比质量≥43kg/kW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49700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20.30 </w:t>
            </w:r>
          </w:p>
        </w:tc>
        <w:tc>
          <w:tcPr>
            <w:tcW w:w="936" w:type="pct"/>
            <w:noWrap w:val="0"/>
            <w:vAlign w:val="center"/>
          </w:tcPr>
          <w:p>
            <w:pPr>
              <w:spacing w:line="200" w:lineRule="exact"/>
              <w:textAlignment w:val="center"/>
              <w:rPr>
                <w:rFonts w:hint="eastAsia" w:ascii="宋体" w:hAnsi="宋体" w:eastAsia="宋体" w:cs="仿宋"/>
                <w:sz w:val="18"/>
                <w:szCs w:val="18"/>
              </w:rPr>
            </w:pPr>
            <w:r>
              <w:rPr>
                <w:rFonts w:hint="eastAsia" w:ascii="宋体" w:hAnsi="宋体" w:eastAsia="宋体" w:cs="仿宋"/>
                <w:color w:val="000000"/>
                <w:sz w:val="18"/>
                <w:szCs w:val="18"/>
              </w:rPr>
              <w:t>180—200马力四轮驱动拖拉机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180马力≤功率＜200马力；驱动方式：四轮驱动；最小使用比质量≥43kg/kW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51200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180—200马力四轮驱动动力换挡拖拉机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180马力≤功率＜200马力；驱动方式：四轮驱动；换挡方式：部分动力换挡、动力换挡/换向、无级变速；最小使用比质量≥43kg/kW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55200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20.32 </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200马力及以上四轮驱动拖拉机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功率≥200马力；驱动方式：四轮驱动；最小使用比质量≥43kg/kW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63200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31"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20.33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200马力及以上四轮驱动动力换挡拖拉机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功率≥200马力；驱动方式：四轮驱动；换挡方式：部分动力换挡、动力换挡/换向、无级变速；最小使用比质量≥43kg/kW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67200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restar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21.履带式拖拉机</w:t>
            </w: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21.1</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80—100马力重型履带式拖拉机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80马力≤功率＜100马力；驱动方式：履带式；最小使用质量≥6000kg</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47200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21.2</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100—130马力重型履带式拖拉机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100马力≤功率＜130马力；驱动方式：履带式；最小使用质量≥6500kg</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58300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21.3</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130—160马力重型履带式拖拉机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130马力≤功率＜160马力；驱动方式：履带式；最小使用质量≥7000kg</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82200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21.4</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160马力及以上重型履带式拖拉机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160马力≤功率；驱动方式：履带式；最小使用质量≥8000kg</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102600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21.5</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50—70马力差速转向履带式拖拉机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50马力≤功率＜70马力；驱动方式：履带式；转向型式：差速式转向；最大牵引功率≥70%发动机标定功率；最小使用比质量≥35kg/kW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21200 </w:t>
            </w:r>
          </w:p>
        </w:tc>
        <w:tc>
          <w:tcPr>
            <w:tcW w:w="729" w:type="pct"/>
            <w:vMerge w:val="restar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差速式转向是指用于液压机械双功率流驱动差速转向机构，实现履带车辆转向的差速式转向系统。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21.6</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70—90马力差速转向履带式拖拉机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70马力≤功率＜90马力；驱动方式：履带式；转向型式：差速式转向；最大牵引功率≥70%发动机标定功率；最小使用比质量≥35kg/kW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23800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21.7</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90—110马力差速转向履带式拖拉机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90马力≤功率＜110马力；驱动方式：履带式；转向型式：差速式转向；最大牵引功率≥70%发动机标定功率；最小使用比质量≥35kg/kW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21.8</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110马力以上差速转向履带式拖拉机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110马力≤功率；驱动方式：履带式；转向型式：差速式转向；最大牵引功率≥70%发动机标定功率；最小使用比质量≥45kg/kW</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31500 </w:t>
            </w:r>
          </w:p>
        </w:tc>
        <w:tc>
          <w:tcPr>
            <w:tcW w:w="729" w:type="pct"/>
            <w:vMerge w:val="continue"/>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21.9</w:t>
            </w:r>
          </w:p>
        </w:tc>
        <w:tc>
          <w:tcPr>
            <w:tcW w:w="936"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50—70马力轻型履带式拖拉机</w:t>
            </w:r>
          </w:p>
        </w:tc>
        <w:tc>
          <w:tcPr>
            <w:tcW w:w="1127" w:type="pct"/>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50马力≤功率＜70马力；驱动方式：履带式；橡胶履带</w:t>
            </w:r>
          </w:p>
        </w:tc>
        <w:tc>
          <w:tcPr>
            <w:tcW w:w="520" w:type="pct"/>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14400 </w:t>
            </w:r>
          </w:p>
        </w:tc>
        <w:tc>
          <w:tcPr>
            <w:tcW w:w="729" w:type="pct"/>
            <w:noWrap w:val="0"/>
            <w:vAlign w:val="center"/>
          </w:tcPr>
          <w:p>
            <w:pPr>
              <w:spacing w:line="200" w:lineRule="exact"/>
              <w:jc w:val="center"/>
              <w:textAlignment w:val="baseline"/>
              <w:rPr>
                <w:rFonts w:hint="eastAsia" w:ascii="宋体" w:hAnsi="宋体" w:eastAsia="宋体" w:cs="仿宋"/>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01" w:type="pct"/>
            <w:vMerge w:val="continue"/>
            <w:tcBorders>
              <w:bottom w:val="single" w:color="000000" w:sz="12"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7" w:type="pct"/>
            <w:vMerge w:val="continue"/>
            <w:tcBorders>
              <w:bottom w:val="single" w:color="000000" w:sz="12"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448" w:type="pct"/>
            <w:vMerge w:val="continue"/>
            <w:tcBorders>
              <w:bottom w:val="single" w:color="000000" w:sz="12" w:space="0"/>
            </w:tcBorders>
            <w:noWrap w:val="0"/>
            <w:vAlign w:val="center"/>
          </w:tcPr>
          <w:p>
            <w:pPr>
              <w:spacing w:line="200" w:lineRule="exact"/>
              <w:ind w:firstLine="360"/>
              <w:jc w:val="center"/>
              <w:textAlignment w:val="baseline"/>
              <w:rPr>
                <w:rFonts w:hint="eastAsia" w:ascii="宋体" w:hAnsi="宋体" w:eastAsia="宋体" w:cs="仿宋"/>
                <w:color w:val="000000"/>
                <w:sz w:val="18"/>
                <w:szCs w:val="18"/>
              </w:rPr>
            </w:pPr>
          </w:p>
        </w:tc>
        <w:tc>
          <w:tcPr>
            <w:tcW w:w="391" w:type="pct"/>
            <w:tcBorders>
              <w:bottom w:val="single" w:color="000000" w:sz="12" w:space="0"/>
            </w:tcBorders>
            <w:noWrap w:val="0"/>
            <w:vAlign w:val="center"/>
          </w:tcPr>
          <w:p>
            <w:pPr>
              <w:spacing w:line="200" w:lineRule="exact"/>
              <w:jc w:val="center"/>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 xml:space="preserve">21.10 </w:t>
            </w:r>
          </w:p>
        </w:tc>
        <w:tc>
          <w:tcPr>
            <w:tcW w:w="936" w:type="pct"/>
            <w:tcBorders>
              <w:bottom w:val="single" w:color="000000" w:sz="12" w:space="0"/>
            </w:tcBorders>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70—100马力轻型履带式拖拉机</w:t>
            </w:r>
          </w:p>
        </w:tc>
        <w:tc>
          <w:tcPr>
            <w:tcW w:w="1127" w:type="pct"/>
            <w:tcBorders>
              <w:bottom w:val="single" w:color="000000" w:sz="12" w:space="0"/>
            </w:tcBorders>
            <w:noWrap w:val="0"/>
            <w:vAlign w:val="center"/>
          </w:tcPr>
          <w:p>
            <w:pPr>
              <w:spacing w:line="200" w:lineRule="exact"/>
              <w:textAlignment w:val="center"/>
              <w:rPr>
                <w:rFonts w:hint="eastAsia" w:ascii="宋体" w:hAnsi="宋体" w:eastAsia="宋体" w:cs="仿宋"/>
                <w:color w:val="000000"/>
                <w:sz w:val="18"/>
                <w:szCs w:val="18"/>
              </w:rPr>
            </w:pPr>
            <w:r>
              <w:rPr>
                <w:rFonts w:hint="eastAsia" w:ascii="宋体" w:hAnsi="宋体" w:eastAsia="宋体" w:cs="仿宋"/>
                <w:color w:val="000000"/>
                <w:sz w:val="18"/>
                <w:szCs w:val="18"/>
              </w:rPr>
              <w:t>70马力≤功率＜100马力；驱动方式：履带式；橡胶履带</w:t>
            </w:r>
          </w:p>
        </w:tc>
        <w:tc>
          <w:tcPr>
            <w:tcW w:w="520" w:type="pct"/>
            <w:tcBorders>
              <w:bottom w:val="single" w:color="000000" w:sz="12" w:space="0"/>
            </w:tcBorders>
            <w:noWrap w:val="0"/>
            <w:vAlign w:val="center"/>
          </w:tcPr>
          <w:p>
            <w:pPr>
              <w:spacing w:line="200" w:lineRule="exact"/>
              <w:jc w:val="center"/>
              <w:textAlignment w:val="center"/>
              <w:rPr>
                <w:rFonts w:hint="eastAsia" w:ascii="宋体" w:hAnsi="宋体" w:eastAsia="宋体" w:cs="仿宋"/>
                <w:bCs/>
                <w:sz w:val="18"/>
                <w:szCs w:val="18"/>
              </w:rPr>
            </w:pPr>
            <w:r>
              <w:rPr>
                <w:rFonts w:hint="eastAsia" w:ascii="宋体" w:hAnsi="宋体" w:eastAsia="宋体" w:cs="仿宋"/>
                <w:bCs/>
                <w:sz w:val="18"/>
                <w:szCs w:val="18"/>
              </w:rPr>
              <w:t xml:space="preserve">17200 </w:t>
            </w:r>
          </w:p>
        </w:tc>
        <w:tc>
          <w:tcPr>
            <w:tcW w:w="729" w:type="pct"/>
            <w:tcBorders>
              <w:bottom w:val="single" w:color="000000" w:sz="12" w:space="0"/>
            </w:tcBorders>
            <w:noWrap w:val="0"/>
            <w:vAlign w:val="center"/>
          </w:tcPr>
          <w:p>
            <w:pPr>
              <w:spacing w:line="200" w:lineRule="exact"/>
              <w:jc w:val="center"/>
              <w:textAlignment w:val="baseline"/>
              <w:rPr>
                <w:rFonts w:hint="eastAsia" w:ascii="宋体" w:hAnsi="宋体" w:eastAsia="宋体" w:cs="仿宋"/>
                <w:color w:val="000000"/>
                <w:sz w:val="18"/>
                <w:szCs w:val="18"/>
              </w:rPr>
            </w:pP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7DB0A36"/>
    <w:rsid w:val="99DFCA99"/>
    <w:rsid w:val="FDEE9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character" w:customStyle="1" w:styleId="5">
    <w:name w:val="font61"/>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2023-03-31T14:39:43Z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