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915"/>
        </w:tabs>
        <w:spacing w:line="600" w:lineRule="exact"/>
        <w:jc w:val="lef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桂农机办〔20</w:t>
      </w:r>
      <w:r>
        <w:rPr>
          <w:rFonts w:hint="default" w:ascii="仿宋_GB2312" w:eastAsia="仿宋_GB2312"/>
          <w:sz w:val="32"/>
          <w:szCs w:val="32"/>
          <w:lang w:val="e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  <w:lang w:val="en"/>
        </w:rPr>
        <w:t>90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  <w:t>广西壮族自治区农业机械化服务中心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关于发布2023年广西农业机械试验鉴定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产品种类指南（第一批）的通知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各有关单位</w:t>
      </w:r>
      <w:r>
        <w:rPr>
          <w:rFonts w:eastAsia="仿宋_GB2312"/>
          <w:sz w:val="32"/>
          <w:szCs w:val="32"/>
        </w:rPr>
        <w:t>：</w:t>
      </w:r>
    </w:p>
    <w:p>
      <w:pPr>
        <w:widowControl/>
        <w:ind w:firstLine="636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根据农业机械试验鉴定工作相关规定，结合当前农机化发展需求，我中心研究确定了《2023年广西农业机械试验鉴定产品种类指南（第一批）》(详见附件)，经报自治区农业农村厅同意，现予以发布并从即日起实施。</w:t>
      </w:r>
      <w:r>
        <w:rPr>
          <w:rFonts w:hint="eastAsia" w:eastAsia="仿宋_GB2312"/>
          <w:kern w:val="0"/>
          <w:sz w:val="32"/>
          <w:szCs w:val="32"/>
          <w:lang w:eastAsia="zh-CN"/>
        </w:rPr>
        <w:t>贵单位</w:t>
      </w:r>
      <w:r>
        <w:rPr>
          <w:rFonts w:hint="eastAsia" w:eastAsia="仿宋_GB2312"/>
          <w:kern w:val="0"/>
          <w:sz w:val="32"/>
          <w:szCs w:val="32"/>
        </w:rPr>
        <w:t>可根据农业机械试验鉴定相关规定及</w:t>
      </w:r>
      <w:r>
        <w:rPr>
          <w:rFonts w:hint="eastAsia" w:eastAsia="仿宋_GB2312"/>
          <w:kern w:val="0"/>
          <w:sz w:val="32"/>
          <w:szCs w:val="32"/>
          <w:lang w:eastAsia="zh-CN"/>
        </w:rPr>
        <w:t>本</w:t>
      </w:r>
      <w:r>
        <w:rPr>
          <w:rFonts w:hint="eastAsia" w:eastAsia="仿宋_GB2312"/>
          <w:kern w:val="0"/>
          <w:sz w:val="32"/>
          <w:szCs w:val="32"/>
        </w:rPr>
        <w:t>指南内可鉴定的产品范围，自愿提出鉴定申请。</w:t>
      </w:r>
    </w:p>
    <w:p>
      <w:pPr>
        <w:widowControl/>
        <w:ind w:firstLine="636" w:firstLineChars="200"/>
        <w:rPr>
          <w:rFonts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left="1908" w:leftChars="306" w:hanging="1272" w:hangingChars="4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附件：</w:t>
      </w:r>
      <w:r>
        <w:rPr>
          <w:rFonts w:eastAsia="仿宋_GB2312"/>
          <w:spacing w:val="-6"/>
          <w:sz w:val="32"/>
          <w:szCs w:val="32"/>
        </w:rPr>
        <w:t>202</w:t>
      </w:r>
      <w:r>
        <w:rPr>
          <w:rFonts w:hint="eastAsia" w:eastAsia="仿宋_GB2312"/>
          <w:spacing w:val="-6"/>
          <w:sz w:val="32"/>
          <w:szCs w:val="32"/>
        </w:rPr>
        <w:t>3</w:t>
      </w:r>
      <w:r>
        <w:rPr>
          <w:rFonts w:eastAsia="仿宋_GB2312"/>
          <w:spacing w:val="-6"/>
          <w:sz w:val="32"/>
          <w:szCs w:val="32"/>
        </w:rPr>
        <w:t>年广西农业机械试验鉴定产品种类指南</w:t>
      </w:r>
      <w:r>
        <w:rPr>
          <w:rFonts w:eastAsia="仿宋_GB2312"/>
          <w:spacing w:val="-6"/>
          <w:kern w:val="0"/>
          <w:sz w:val="32"/>
          <w:szCs w:val="32"/>
        </w:rPr>
        <w:t>（第一批）</w:t>
      </w:r>
    </w:p>
    <w:p>
      <w:pPr>
        <w:pStyle w:val="2"/>
        <w:ind w:firstLine="1908" w:firstLineChars="600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>
      <w:pPr>
        <w:spacing w:line="600" w:lineRule="exact"/>
        <w:ind w:firstLine="1749" w:firstLineChars="55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广西壮族自治区农业机械化服务中心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仿宋_GB2312" w:eastAsia="仿宋_GB2312"/>
          <w:sz w:val="32"/>
        </w:rPr>
        <w:br w:type="page"/>
      </w:r>
      <w:r>
        <w:rPr>
          <w:rFonts w:hint="eastAsia" w:ascii="黑体" w:hAnsi="黑体" w:eastAsia="黑体" w:cs="黑体"/>
          <w:sz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2023年广西农业机械试验鉴定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产品种类指南（第一批）</w:t>
      </w:r>
    </w:p>
    <w:tbl>
      <w:tblPr>
        <w:tblStyle w:val="8"/>
        <w:tblW w:w="979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709"/>
        <w:gridCol w:w="1134"/>
        <w:gridCol w:w="992"/>
        <w:gridCol w:w="1134"/>
        <w:gridCol w:w="1276"/>
        <w:gridCol w:w="170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tblHeader/>
        </w:trPr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大类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小类</w:t>
            </w:r>
          </w:p>
        </w:tc>
        <w:tc>
          <w:tcPr>
            <w:tcW w:w="3402" w:type="dxa"/>
            <w:gridSpan w:val="3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品目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tblHeader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Cs w:val="21"/>
              </w:rPr>
              <w:t>适用鉴定大纲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b/>
                <w:bCs/>
                <w:kern w:val="0"/>
                <w:szCs w:val="21"/>
              </w:rPr>
            </w:pPr>
            <w:r>
              <w:rPr>
                <w:rFonts w:ascii="宋体" w:hAnsi="宋体" w:cs="Tahoma"/>
                <w:b/>
                <w:bCs/>
                <w:kern w:val="0"/>
                <w:szCs w:val="21"/>
              </w:rPr>
              <w:t>鉴定类型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耕整地机械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耕地机械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铧式犁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087-2022《铧式犁》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旋耕机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旋耕机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005-2019 《旋耕机》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立式粉垄深耕深松机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002-2020 《立式粉垄深耕深松机》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自走履带旋耕机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 xml:space="preserve">DG/T 088-2023 </w:t>
            </w:r>
            <w:r>
              <w:rPr>
                <w:rFonts w:hint="eastAsia" w:ascii="宋体" w:hAnsi="宋体" w:cs="Tahoma"/>
                <w:kern w:val="0"/>
                <w:sz w:val="20"/>
              </w:rPr>
              <w:t>《自走式旋耕机》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微型耕耘机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006-2021 《微耕机》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耕整机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水田耕整机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004-2019 《水田耕整机》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深松机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026—2019 《深松机》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开沟机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089—2022 《开沟机》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挖坑（成穴）机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挖坑机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228-2019 《挖坑机》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整地机械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110203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起垄机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093-2019 《起垄机》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110206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灭茬机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桑田平茬机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245-2021《桑田平茬机》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甘蔗平茬机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004-2021 《甘蔗平茬机》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110207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铺膜机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095-2019《铺膜机》及其第1号修改单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种植施肥机械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种子播前处理和育苗机械设备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块（根）茎种子分切机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甘蔗切种机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271-2022 《甘蔗切种机》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120105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育秧（苗）播种设备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秧盘播种成套设备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074-2021 《秧盘播种成套设备》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自走式田间水稻秧盘育秧播种机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DG45/Z 001-2021 《自走式田间水稻秧盘育秧播种机》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播种机械（可含施肥功能）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条播机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播种机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007-2019 《播种机》及其第1号修改单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水稻直播机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083-2021 《水稻直播机 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120203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穴播机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播种机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007-2019 《播种机》及其第1号修改单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水稻直播机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083-2021 《水稻直播机 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3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单粒（精密）播种机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播种机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007-2019 《播种机》及其第1号修改单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根(块)茎种子播种机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甘蔗种植机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104-2019 《甘蔗种植机》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1204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栽植机械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120401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插秧机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008-2022 《插秧机》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120402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抛秧机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169-2019《水稻抛秧机》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120404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移栽机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水稻钵苗移栽机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102-2019 《水稻钵苗移栽机》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施肥机械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120502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撒（抛）肥机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106-2021 《撒肥机》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120503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侧深施肥装置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水稻侧深施肥装置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105-2023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《水稻侧深施肥装置》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田间管理机械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中耕机械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130101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中耕机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中耕机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108-2019 《中耕机》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除草机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176-2019 《除草机》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130150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其他中耕机械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甘蔗破垄机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008-2021 《甘蔗破垄机》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修剪防护管理机械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修剪机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茶树修剪机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110-2019 《茶树修剪机》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果树修剪机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178-2021 《果树修剪机》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割灌机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177-2023 《割灌机》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枝条切碎机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198-2019 《枝条切碎机》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农用升降作业平台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212-2023 《农机升降作业平台》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其他田间管理机械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135050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其他田间管理机械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蔗株行间剥叶机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244-2021 《蔗株行间剥叶机》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收获机械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粮食作物收获机械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150105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谷物联合收割机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谷物联合收割机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014-2019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</w:t>
            </w:r>
            <w:r>
              <w:rPr>
                <w:rFonts w:ascii="宋体" w:hAnsi="宋体" w:cs="Tahoma"/>
                <w:kern w:val="0"/>
                <w:sz w:val="20"/>
              </w:rPr>
              <w:t>《</w:t>
            </w:r>
            <w:r>
              <w:rPr>
                <w:rFonts w:hint="eastAsia" w:ascii="宋体" w:hAnsi="宋体" w:cs="Tahoma"/>
                <w:kern w:val="0"/>
                <w:sz w:val="20"/>
              </w:rPr>
              <w:t>谷物联合收割机</w:t>
            </w:r>
            <w:r>
              <w:rPr>
                <w:rFonts w:ascii="宋体" w:hAnsi="宋体" w:cs="Tahoma"/>
                <w:kern w:val="0"/>
                <w:sz w:val="20"/>
              </w:rPr>
              <w:t>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小型收割机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180-2019 《小型收割机》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玉米收获机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015-2021《玉米收获机》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薯类收获机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薯类收获机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078-2022 《薯类收获机》开沟机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150150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其他粮食作物收获机械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收谷装袋机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DG43/Z 014—2021 《收谷装袋机》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油料作物收获机械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150301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大豆收获机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大豆联合收割机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184-2019 《大豆联合收割机》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糖料作物收获机械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甘蔗割铺（集条、集堆）机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甘蔗割铺机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117-2021 《甘蔗收获机》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甘蔗割堆机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甘蔗收集搬运机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甘蔗田间收集搬运机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136—2021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《甘蔗田间收集搬运机》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甘蔗联合收获机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117-2021 《甘蔗收获机》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秸秆收集处理机械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150701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秸秆粉碎还田机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秸秆粉碎还田机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016—2022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《秸秆（根茬）粉碎还田机》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设施种植机械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1602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食用菌生产设备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160204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菌料装瓶（袋）机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231-2022 《菌料装瓶（袋）机》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田间监测及作业监控设备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1702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田间作业监控设备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170201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耕整地作业监控设备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农机耕整地作业监测终端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253-2021 《农机耕整地作业监测终端》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种植业废弃物处理设备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1802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农作物废弃物处理设备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180201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秸秆发酵制肥机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秸秆发酵处理机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224-2019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《秸秆发酵处理机》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饲料（草）收获加工运输设备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饲料（草）收获机械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搂草机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042-2019《搂草机》及其第1号修改单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打（压）捆机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043-2019 《打（压）捆机》及其第1号修改单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青（黄）饲料收获机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052-2019 《青饲料收获机》及其第1号修改单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210108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草本桑收割机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草本桑收割机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006-2021 《便携式桑叶采集机》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桑树枝条收割机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DG37/Z 012-2022《桑树枝条收割机》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饲料（草）加工机械设备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铡草机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024-2019《铡草（青贮切碎）机》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青贮切碎机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024-2019《铡草（青贮切碎）机》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210203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饲料（草）粉碎机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饲料（草）粉碎机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053-2019《饲草揉碎机》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</w:rPr>
              <w:t>饲料粉碎机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023-2021 《饲料粉碎机》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颗粒饲料压制机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045-2019 《颗粒饲料压制（压块）机》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饲料混合机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044-2019 《饲料混合机》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饲料（草）搬运机械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210302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饲草捆收集机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</w:rPr>
              <w:t>抓草机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138-2019 《抓草机》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畜禽养殖机械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畜禽养殖成套设备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生猪养殖成套设备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</w:rPr>
              <w:t>猪栏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220-2023 《猪栏》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2204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饲养设备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220404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喂（送）料机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061-2021 《喂（送）料机》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220408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畜禽精准饲喂设备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母猪精确饲喂设备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257-2021《母猪精确饲喂设备》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畜禽产品采集储运设备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2301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畜禽产品采集设备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230110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采茧机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007-2021 《采茧机》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畜禽养殖废弃物及病死畜禽处理设备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畜禽粪污资源化利用设备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畜禽粪便发酵处理设备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147-2022 《畜禽粪便发酵处理机》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畜禽粪便翻堆设备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DG/T 148-2022 《畜禽粪便翻堆》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粪污水处理设备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畜禽粪污水处理设备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260-2021 《畜禽粪污水处理设备》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沼液沼渣抽排设备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DG/T 150-2019 《沼液沼渣抽排设备》及其第1号修改单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32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捕捞机械设备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3202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绞纲机械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320202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绞纲机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渔业船舶绞纲机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069-2019 《渔业船舶绞纲机》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种子初加工机械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种子初加工机械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410102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种子清选机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034-2019 《种子清选机》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粮油糖初加工机械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粮食初加工机械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粮食清选机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122-2019《粮食清选机》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谷物（粮食）干燥机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谷物烘干机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017-2021 《谷物烘干机》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碾米机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碾米粉碎组合机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 xml:space="preserve">DG/T 200-2019 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《碾米粉碎组合机》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油料初加工机械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油茶籽干燥机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DG43/Z 002—2019 《油茶籽烘干机》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油茶果（籽）脱（剥）壳机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油茶果剥壳机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295-2023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《油茶果剥壳机》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糖料初加工机械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420301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甘蔗除杂设备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011-2022 《甘蔗除杂设备》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果菜茶初加工机械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果蔬分级机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048-2022《果品分级机》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果蔬清洗机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049-2019《水果清洗打蜡机》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水果打蜡机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049-2019《水果清洗打蜡机》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果蔬干燥机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DG/T 194-2021 《果蔬烘干机》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果蔬冷藏保鲜设备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简易保鲜储藏设备 组合冷库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137-2019《简易保鲜储藏设备 组合冷库》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茶叶初加工机械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茶叶做青机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茶叶摊青（萎凋）机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206-2019《茶叶摊青（萎凋）机》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茶叶杀青机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079-2021 《茶叶杀青机》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茶叶揉捻机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080-2019 《茶叶揉捻机》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茶叶解块机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265—2021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《茶叶解块机》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茶叶理条机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085—2021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《茶叶理条机》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茶叶炒（烘）干机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081-2021 《茶叶炒（烘）干机》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440209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茶叶清选机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茶叶拣梗机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202-2019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《茶叶拣梗机》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茶叶筛选机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126—2019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</w:t>
            </w:r>
            <w:r>
              <w:rPr>
                <w:rFonts w:ascii="宋体" w:hAnsi="宋体" w:cs="Tahoma"/>
                <w:kern w:val="0"/>
                <w:sz w:val="20"/>
              </w:rPr>
              <w:t>《</w:t>
            </w:r>
            <w:r>
              <w:rPr>
                <w:rFonts w:hint="eastAsia" w:ascii="宋体" w:hAnsi="宋体" w:cs="Tahoma"/>
                <w:kern w:val="0"/>
                <w:sz w:val="20"/>
              </w:rPr>
              <w:t>茶叶筛选机</w:t>
            </w:r>
            <w:r>
              <w:rPr>
                <w:rFonts w:ascii="宋体" w:hAnsi="宋体" w:cs="Tahoma"/>
                <w:kern w:val="0"/>
                <w:sz w:val="20"/>
              </w:rPr>
              <w:t>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茶叶输送机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084—2019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《茶叶输送机》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农用动力机械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拖拉机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轮式拖拉机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001-2019 《农业轮式和履带拖拉机》及第1号修改单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510103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履带式拖拉机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001-2019《农业轮式和履带拖拉机》及其第1号修改单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农用搬运机械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农用运输机械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农用挂车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269-2021《农用挂车》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520102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田间搬运机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履带式田园搬运机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270-2021 《履带式田园搬运机》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520103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轨道运输机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211-2022 《轨道运输机》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设施环境控制设备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5401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设施环境控制设备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540104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加温设备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热风炉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154-2022《热风炉》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农田基本建设机械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5501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挖掘机械（限与拖拉机配套）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550101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农用挖掘机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限与拖拉机配套的农用挖掘机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227-2019 《农用挖掘机》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5503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清理机械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550301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捡（清）石机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农田捡石机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229-2019 《农田捡石机》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</w:tbl>
    <w:p>
      <w:pPr>
        <w:pStyle w:val="2"/>
        <w:rPr>
          <w:color w:val="auto"/>
        </w:rPr>
      </w:pPr>
    </w:p>
    <w:p>
      <w:pPr>
        <w:spacing w:line="10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spacing w:line="10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广西壮族自治区农业机械化服务中心办公室       2023年5月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日印</w:t>
      </w:r>
    </w:p>
    <w:p>
      <w:pPr>
        <w:spacing w:line="1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pStyle w:val="2"/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154" w:right="1417" w:bottom="2041" w:left="1531" w:header="851" w:footer="992" w:gutter="0"/>
      <w:pgNumType w:start="1"/>
      <w:cols w:space="720" w:num="1"/>
      <w:docGrid w:type="linesAndChars" w:linePitch="574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rif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etween w:val="none" w:color="auto" w:sz="50" w:space="0"/>
                            </w:pBdr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lang/>
                            </w:rPr>
                            <w:t>8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MikCPDAQAAjg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n1&#10;bXKnD1hR02N4gClDCpPUoQWb3iSCDdnR89VRNUQmqbhcr9brksyWdDYnhFM8fR4A473ylqWg5kBX&#10;lp0Upw8Yx9a5JU1z/k4bQ3VRGfdXgTBTpUiMR44pisN+mIjvfXMmsT3dds0dLTdn5r0jM9NizAHM&#10;wX4OjgH0ocubk+ZhuD1GIpG5pQkj7DSYrimrm1Yq7cGfee56+o2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QyKQI8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Bdr>
                        <w:between w:val="none" w:color="auto" w:sz="50" w:space="0"/>
                      </w:pBdr>
                      <w:rPr>
                        <w:rFonts w:hint="eastAsia"/>
                        <w:sz w:val="28"/>
                      </w:rPr>
                    </w:pPr>
                    <w:r>
                      <w:rPr>
                        <w:rStyle w:val="11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lang/>
                      </w:rPr>
                      <w:t>8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hyphenationZone w:val="360"/>
  <w:drawingGridHorizontalSpacing w:val="104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4319F"/>
    <w:rsid w:val="00002566"/>
    <w:rsid w:val="00002C88"/>
    <w:rsid w:val="00004805"/>
    <w:rsid w:val="0001756A"/>
    <w:rsid w:val="000254C2"/>
    <w:rsid w:val="000324DB"/>
    <w:rsid w:val="00033F7C"/>
    <w:rsid w:val="00035DA9"/>
    <w:rsid w:val="00041CBC"/>
    <w:rsid w:val="000468D9"/>
    <w:rsid w:val="00047024"/>
    <w:rsid w:val="00050F67"/>
    <w:rsid w:val="00052217"/>
    <w:rsid w:val="00052AF1"/>
    <w:rsid w:val="00066942"/>
    <w:rsid w:val="00095789"/>
    <w:rsid w:val="000A1AD1"/>
    <w:rsid w:val="000A22B6"/>
    <w:rsid w:val="000A2668"/>
    <w:rsid w:val="000C00E4"/>
    <w:rsid w:val="000C604D"/>
    <w:rsid w:val="000D54C6"/>
    <w:rsid w:val="000D62C0"/>
    <w:rsid w:val="00101F99"/>
    <w:rsid w:val="001103DD"/>
    <w:rsid w:val="001274B6"/>
    <w:rsid w:val="00127EEC"/>
    <w:rsid w:val="00144E24"/>
    <w:rsid w:val="0015282E"/>
    <w:rsid w:val="00167FF7"/>
    <w:rsid w:val="00180A54"/>
    <w:rsid w:val="001B4422"/>
    <w:rsid w:val="001B7B71"/>
    <w:rsid w:val="001C29AD"/>
    <w:rsid w:val="001C3E64"/>
    <w:rsid w:val="001C53A0"/>
    <w:rsid w:val="001E6A3B"/>
    <w:rsid w:val="001F0966"/>
    <w:rsid w:val="00200461"/>
    <w:rsid w:val="00200AC9"/>
    <w:rsid w:val="002036BF"/>
    <w:rsid w:val="002072F6"/>
    <w:rsid w:val="00213569"/>
    <w:rsid w:val="002144C5"/>
    <w:rsid w:val="00215C30"/>
    <w:rsid w:val="0022129A"/>
    <w:rsid w:val="0022393F"/>
    <w:rsid w:val="00227A2A"/>
    <w:rsid w:val="00237DB6"/>
    <w:rsid w:val="002502FF"/>
    <w:rsid w:val="00253CC7"/>
    <w:rsid w:val="00255BAD"/>
    <w:rsid w:val="00267E9D"/>
    <w:rsid w:val="00282371"/>
    <w:rsid w:val="00284843"/>
    <w:rsid w:val="00285B64"/>
    <w:rsid w:val="00286679"/>
    <w:rsid w:val="00293518"/>
    <w:rsid w:val="00297833"/>
    <w:rsid w:val="002B7D18"/>
    <w:rsid w:val="002C63BD"/>
    <w:rsid w:val="002C76C9"/>
    <w:rsid w:val="002E00E0"/>
    <w:rsid w:val="002E4560"/>
    <w:rsid w:val="002F0644"/>
    <w:rsid w:val="00314131"/>
    <w:rsid w:val="00314AEF"/>
    <w:rsid w:val="003342E4"/>
    <w:rsid w:val="00340BB3"/>
    <w:rsid w:val="00342B99"/>
    <w:rsid w:val="003609FC"/>
    <w:rsid w:val="00370B2D"/>
    <w:rsid w:val="003743CC"/>
    <w:rsid w:val="003759FF"/>
    <w:rsid w:val="0038183A"/>
    <w:rsid w:val="003841BD"/>
    <w:rsid w:val="003943FD"/>
    <w:rsid w:val="0039670E"/>
    <w:rsid w:val="003A5ACD"/>
    <w:rsid w:val="003A7F06"/>
    <w:rsid w:val="003B1003"/>
    <w:rsid w:val="003C43BF"/>
    <w:rsid w:val="003D1986"/>
    <w:rsid w:val="003D733E"/>
    <w:rsid w:val="003E21F1"/>
    <w:rsid w:val="003E6876"/>
    <w:rsid w:val="003F359F"/>
    <w:rsid w:val="003F43BF"/>
    <w:rsid w:val="003F44D4"/>
    <w:rsid w:val="00406AC6"/>
    <w:rsid w:val="00410220"/>
    <w:rsid w:val="00413657"/>
    <w:rsid w:val="0041626D"/>
    <w:rsid w:val="004218DF"/>
    <w:rsid w:val="00422D63"/>
    <w:rsid w:val="004314B4"/>
    <w:rsid w:val="00431760"/>
    <w:rsid w:val="00431CC3"/>
    <w:rsid w:val="0043211E"/>
    <w:rsid w:val="004323CA"/>
    <w:rsid w:val="00432BA8"/>
    <w:rsid w:val="00444E2E"/>
    <w:rsid w:val="00450F6C"/>
    <w:rsid w:val="00451E46"/>
    <w:rsid w:val="00453202"/>
    <w:rsid w:val="00464DAA"/>
    <w:rsid w:val="004767C3"/>
    <w:rsid w:val="00494F39"/>
    <w:rsid w:val="004A5CD7"/>
    <w:rsid w:val="004B485A"/>
    <w:rsid w:val="004C0E8C"/>
    <w:rsid w:val="004D382E"/>
    <w:rsid w:val="004E0A74"/>
    <w:rsid w:val="00503374"/>
    <w:rsid w:val="005053D5"/>
    <w:rsid w:val="005218D3"/>
    <w:rsid w:val="00523240"/>
    <w:rsid w:val="005245CF"/>
    <w:rsid w:val="00525120"/>
    <w:rsid w:val="005304E1"/>
    <w:rsid w:val="00530B77"/>
    <w:rsid w:val="00534662"/>
    <w:rsid w:val="00534DAA"/>
    <w:rsid w:val="00536100"/>
    <w:rsid w:val="00536EA3"/>
    <w:rsid w:val="00551B29"/>
    <w:rsid w:val="005655BB"/>
    <w:rsid w:val="0057018F"/>
    <w:rsid w:val="00582D7E"/>
    <w:rsid w:val="00597EF4"/>
    <w:rsid w:val="005A0E44"/>
    <w:rsid w:val="005A2D60"/>
    <w:rsid w:val="005A512D"/>
    <w:rsid w:val="005B0148"/>
    <w:rsid w:val="005B1B4C"/>
    <w:rsid w:val="005C35D6"/>
    <w:rsid w:val="005C4377"/>
    <w:rsid w:val="005D4FFF"/>
    <w:rsid w:val="005D77BB"/>
    <w:rsid w:val="00606F5A"/>
    <w:rsid w:val="00611DAC"/>
    <w:rsid w:val="00613596"/>
    <w:rsid w:val="00614025"/>
    <w:rsid w:val="00616563"/>
    <w:rsid w:val="006242EB"/>
    <w:rsid w:val="00626741"/>
    <w:rsid w:val="00630FE4"/>
    <w:rsid w:val="006354E3"/>
    <w:rsid w:val="00652AA2"/>
    <w:rsid w:val="0065418A"/>
    <w:rsid w:val="00661025"/>
    <w:rsid w:val="00671B4D"/>
    <w:rsid w:val="00676A37"/>
    <w:rsid w:val="00683764"/>
    <w:rsid w:val="006A225C"/>
    <w:rsid w:val="006B65CA"/>
    <w:rsid w:val="006C38E4"/>
    <w:rsid w:val="006E2779"/>
    <w:rsid w:val="006E68E1"/>
    <w:rsid w:val="006F5BD1"/>
    <w:rsid w:val="0070120E"/>
    <w:rsid w:val="0071287B"/>
    <w:rsid w:val="007141F4"/>
    <w:rsid w:val="00717E01"/>
    <w:rsid w:val="00723448"/>
    <w:rsid w:val="00726B36"/>
    <w:rsid w:val="00730CA6"/>
    <w:rsid w:val="007319F4"/>
    <w:rsid w:val="00742FA4"/>
    <w:rsid w:val="007769AB"/>
    <w:rsid w:val="00794E89"/>
    <w:rsid w:val="00796E46"/>
    <w:rsid w:val="007A0D83"/>
    <w:rsid w:val="007A3791"/>
    <w:rsid w:val="007D06A6"/>
    <w:rsid w:val="007D0A4A"/>
    <w:rsid w:val="007D6214"/>
    <w:rsid w:val="007E487E"/>
    <w:rsid w:val="007E760B"/>
    <w:rsid w:val="00811BBB"/>
    <w:rsid w:val="008457F8"/>
    <w:rsid w:val="00855CB7"/>
    <w:rsid w:val="008567C4"/>
    <w:rsid w:val="00856F4F"/>
    <w:rsid w:val="00864461"/>
    <w:rsid w:val="008658C1"/>
    <w:rsid w:val="00867A5F"/>
    <w:rsid w:val="00886D5E"/>
    <w:rsid w:val="00891C0B"/>
    <w:rsid w:val="008A4A13"/>
    <w:rsid w:val="008D36C8"/>
    <w:rsid w:val="008E135A"/>
    <w:rsid w:val="008E224C"/>
    <w:rsid w:val="00910857"/>
    <w:rsid w:val="00914B53"/>
    <w:rsid w:val="00923AF0"/>
    <w:rsid w:val="00930A7B"/>
    <w:rsid w:val="00931250"/>
    <w:rsid w:val="0093611A"/>
    <w:rsid w:val="0094656B"/>
    <w:rsid w:val="00950647"/>
    <w:rsid w:val="00952188"/>
    <w:rsid w:val="009559DA"/>
    <w:rsid w:val="00957EBF"/>
    <w:rsid w:val="00972609"/>
    <w:rsid w:val="009849C7"/>
    <w:rsid w:val="009868C3"/>
    <w:rsid w:val="00986F13"/>
    <w:rsid w:val="00994198"/>
    <w:rsid w:val="009A167A"/>
    <w:rsid w:val="009A297A"/>
    <w:rsid w:val="009B078D"/>
    <w:rsid w:val="009C37EC"/>
    <w:rsid w:val="009C6025"/>
    <w:rsid w:val="009E3DCD"/>
    <w:rsid w:val="009F0CA9"/>
    <w:rsid w:val="00A06CDE"/>
    <w:rsid w:val="00A1465B"/>
    <w:rsid w:val="00A17053"/>
    <w:rsid w:val="00A3310A"/>
    <w:rsid w:val="00A518A6"/>
    <w:rsid w:val="00A522AB"/>
    <w:rsid w:val="00A65FE7"/>
    <w:rsid w:val="00A9298F"/>
    <w:rsid w:val="00A930B1"/>
    <w:rsid w:val="00AA5540"/>
    <w:rsid w:val="00AB6E44"/>
    <w:rsid w:val="00AC3653"/>
    <w:rsid w:val="00AF27B0"/>
    <w:rsid w:val="00B06B9C"/>
    <w:rsid w:val="00B221F4"/>
    <w:rsid w:val="00B27193"/>
    <w:rsid w:val="00B40C5A"/>
    <w:rsid w:val="00B41405"/>
    <w:rsid w:val="00B65B18"/>
    <w:rsid w:val="00B70D3C"/>
    <w:rsid w:val="00B745E6"/>
    <w:rsid w:val="00B84594"/>
    <w:rsid w:val="00BA07AC"/>
    <w:rsid w:val="00BA3375"/>
    <w:rsid w:val="00BB1149"/>
    <w:rsid w:val="00BD4A02"/>
    <w:rsid w:val="00BD5F2D"/>
    <w:rsid w:val="00BF1EBA"/>
    <w:rsid w:val="00BF5BED"/>
    <w:rsid w:val="00C01E49"/>
    <w:rsid w:val="00C10BBE"/>
    <w:rsid w:val="00C14F55"/>
    <w:rsid w:val="00C15737"/>
    <w:rsid w:val="00C20008"/>
    <w:rsid w:val="00C31226"/>
    <w:rsid w:val="00C31D88"/>
    <w:rsid w:val="00C3678C"/>
    <w:rsid w:val="00C55613"/>
    <w:rsid w:val="00C61066"/>
    <w:rsid w:val="00C642A0"/>
    <w:rsid w:val="00C677B3"/>
    <w:rsid w:val="00C8067D"/>
    <w:rsid w:val="00C875E1"/>
    <w:rsid w:val="00C90DD0"/>
    <w:rsid w:val="00CA1800"/>
    <w:rsid w:val="00CA633A"/>
    <w:rsid w:val="00CB4CA3"/>
    <w:rsid w:val="00CB5511"/>
    <w:rsid w:val="00CD6E36"/>
    <w:rsid w:val="00CE58D2"/>
    <w:rsid w:val="00D07887"/>
    <w:rsid w:val="00D12CDD"/>
    <w:rsid w:val="00D2096A"/>
    <w:rsid w:val="00D211FE"/>
    <w:rsid w:val="00D22B0F"/>
    <w:rsid w:val="00D3196E"/>
    <w:rsid w:val="00D554A0"/>
    <w:rsid w:val="00D702AE"/>
    <w:rsid w:val="00D71337"/>
    <w:rsid w:val="00D777B5"/>
    <w:rsid w:val="00D86A89"/>
    <w:rsid w:val="00D90ECC"/>
    <w:rsid w:val="00D94646"/>
    <w:rsid w:val="00DA56C8"/>
    <w:rsid w:val="00DB76DA"/>
    <w:rsid w:val="00DC3590"/>
    <w:rsid w:val="00DF0C0F"/>
    <w:rsid w:val="00DF7670"/>
    <w:rsid w:val="00E02A9A"/>
    <w:rsid w:val="00E0513E"/>
    <w:rsid w:val="00E105E6"/>
    <w:rsid w:val="00E23D53"/>
    <w:rsid w:val="00E24302"/>
    <w:rsid w:val="00E25DEA"/>
    <w:rsid w:val="00E43EC0"/>
    <w:rsid w:val="00E45318"/>
    <w:rsid w:val="00E456FD"/>
    <w:rsid w:val="00E52459"/>
    <w:rsid w:val="00E606B1"/>
    <w:rsid w:val="00E7644B"/>
    <w:rsid w:val="00E809A8"/>
    <w:rsid w:val="00E8383C"/>
    <w:rsid w:val="00E85F89"/>
    <w:rsid w:val="00E90C87"/>
    <w:rsid w:val="00E96E70"/>
    <w:rsid w:val="00EB3E68"/>
    <w:rsid w:val="00EC64E7"/>
    <w:rsid w:val="00EE35FA"/>
    <w:rsid w:val="00EF5460"/>
    <w:rsid w:val="00F0098A"/>
    <w:rsid w:val="00F07405"/>
    <w:rsid w:val="00F2260B"/>
    <w:rsid w:val="00F25165"/>
    <w:rsid w:val="00F26058"/>
    <w:rsid w:val="00F41C2C"/>
    <w:rsid w:val="00F60644"/>
    <w:rsid w:val="00F6244F"/>
    <w:rsid w:val="00F674AE"/>
    <w:rsid w:val="00F724E5"/>
    <w:rsid w:val="00F73249"/>
    <w:rsid w:val="00F742A6"/>
    <w:rsid w:val="00F76937"/>
    <w:rsid w:val="00F826EF"/>
    <w:rsid w:val="00F84C18"/>
    <w:rsid w:val="00F873EC"/>
    <w:rsid w:val="00FE2BAE"/>
    <w:rsid w:val="00FE3F25"/>
    <w:rsid w:val="01DC7121"/>
    <w:rsid w:val="030A68A4"/>
    <w:rsid w:val="05BA0644"/>
    <w:rsid w:val="0650159E"/>
    <w:rsid w:val="0BC5619F"/>
    <w:rsid w:val="0EFE5755"/>
    <w:rsid w:val="0FDB4AE0"/>
    <w:rsid w:val="111677B8"/>
    <w:rsid w:val="13F019AA"/>
    <w:rsid w:val="148B16F8"/>
    <w:rsid w:val="14FD37E8"/>
    <w:rsid w:val="163B61D0"/>
    <w:rsid w:val="18B35507"/>
    <w:rsid w:val="1C086F96"/>
    <w:rsid w:val="1D74319F"/>
    <w:rsid w:val="1F8D2489"/>
    <w:rsid w:val="238E4666"/>
    <w:rsid w:val="24932C92"/>
    <w:rsid w:val="278369C8"/>
    <w:rsid w:val="2B906A3C"/>
    <w:rsid w:val="2EBF2F32"/>
    <w:rsid w:val="30222EB8"/>
    <w:rsid w:val="356F5A22"/>
    <w:rsid w:val="35C05B95"/>
    <w:rsid w:val="37BB5D97"/>
    <w:rsid w:val="38126AA2"/>
    <w:rsid w:val="3F37051B"/>
    <w:rsid w:val="3F462F93"/>
    <w:rsid w:val="3F7FC03B"/>
    <w:rsid w:val="3FA67246"/>
    <w:rsid w:val="4241350D"/>
    <w:rsid w:val="45783CC3"/>
    <w:rsid w:val="461E1DC4"/>
    <w:rsid w:val="47053EE8"/>
    <w:rsid w:val="481F632F"/>
    <w:rsid w:val="4A920BB4"/>
    <w:rsid w:val="4CDE4DCC"/>
    <w:rsid w:val="4E991D3C"/>
    <w:rsid w:val="508548D9"/>
    <w:rsid w:val="54B84FAF"/>
    <w:rsid w:val="5504603C"/>
    <w:rsid w:val="550D6105"/>
    <w:rsid w:val="589331DE"/>
    <w:rsid w:val="5D4469EA"/>
    <w:rsid w:val="5FFED83E"/>
    <w:rsid w:val="64F91AAA"/>
    <w:rsid w:val="65073E2E"/>
    <w:rsid w:val="65305E4A"/>
    <w:rsid w:val="66BC63E9"/>
    <w:rsid w:val="6B4074F5"/>
    <w:rsid w:val="6CDF6257"/>
    <w:rsid w:val="6F3A185C"/>
    <w:rsid w:val="73F74030"/>
    <w:rsid w:val="746D6478"/>
    <w:rsid w:val="75846C42"/>
    <w:rsid w:val="75965A61"/>
    <w:rsid w:val="75FC678E"/>
    <w:rsid w:val="7A6170DD"/>
    <w:rsid w:val="7C770CE0"/>
    <w:rsid w:val="7EDE29B8"/>
    <w:rsid w:val="7F306697"/>
    <w:rsid w:val="7FFB9B0C"/>
    <w:rsid w:val="BA7B23C6"/>
    <w:rsid w:val="DFFE9737"/>
    <w:rsid w:val="ECDA93D4"/>
    <w:rsid w:val="ECFFB982"/>
    <w:rsid w:val="EEE5BA46"/>
    <w:rsid w:val="EF5FF8B6"/>
    <w:rsid w:val="F39DFB58"/>
    <w:rsid w:val="F699E0C0"/>
    <w:rsid w:val="F6DA7284"/>
    <w:rsid w:val="F7CC1798"/>
    <w:rsid w:val="FCEF88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styleId="3">
    <w:name w:val="Date"/>
    <w:basedOn w:val="1"/>
    <w:next w:val="1"/>
    <w:link w:val="21"/>
    <w:uiPriority w:val="0"/>
    <w:pPr>
      <w:ind w:left="100" w:leftChars="2500"/>
    </w:pPr>
    <w:rPr>
      <w:rFonts w:ascii="宋体" w:hAnsi="宋体" w:eastAsia="宋体"/>
      <w:sz w:val="30"/>
      <w:szCs w:val="24"/>
    </w:rPr>
  </w:style>
  <w:style w:type="paragraph" w:styleId="4">
    <w:name w:val="Balloon Text"/>
    <w:basedOn w:val="1"/>
    <w:link w:val="22"/>
    <w:uiPriority w:val="0"/>
    <w:rPr>
      <w:kern w:val="2"/>
      <w:sz w:val="18"/>
      <w:szCs w:val="18"/>
    </w:rPr>
  </w:style>
  <w:style w:type="paragraph" w:styleId="5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page number"/>
    <w:uiPriority w:val="0"/>
  </w:style>
  <w:style w:type="character" w:styleId="12">
    <w:name w:val="FollowedHyperlink"/>
    <w:qFormat/>
    <w:uiPriority w:val="0"/>
    <w:rPr>
      <w:rFonts w:ascii="Times New Roman" w:hAnsi="Times New Roman" w:eastAsia="宋体" w:cs="Times New Roman"/>
      <w:color w:val="338DE6"/>
      <w:u w:val="none"/>
    </w:rPr>
  </w:style>
  <w:style w:type="character" w:styleId="13">
    <w:name w:val="Emphasis"/>
    <w:qFormat/>
    <w:uiPriority w:val="0"/>
    <w:rPr>
      <w:rFonts w:ascii="Times New Roman" w:hAnsi="Times New Roman" w:eastAsia="宋体" w:cs="Times New Roman"/>
    </w:rPr>
  </w:style>
  <w:style w:type="character" w:styleId="14">
    <w:name w:val="HTML Definition"/>
    <w:qFormat/>
    <w:uiPriority w:val="0"/>
    <w:rPr>
      <w:rFonts w:ascii="Times New Roman" w:hAnsi="Times New Roman" w:eastAsia="宋体" w:cs="Times New Roman"/>
    </w:rPr>
  </w:style>
  <w:style w:type="character" w:styleId="15">
    <w:name w:val="HTML Variable"/>
    <w:qFormat/>
    <w:uiPriority w:val="0"/>
    <w:rPr>
      <w:rFonts w:ascii="Times New Roman" w:hAnsi="Times New Roman" w:eastAsia="宋体" w:cs="Times New Roman"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HTML Code"/>
    <w:qFormat/>
    <w:uiPriority w:val="0"/>
    <w:rPr>
      <w:rFonts w:ascii="serif" w:hAnsi="serif" w:eastAsia="serif" w:cs="serif"/>
      <w:sz w:val="21"/>
      <w:szCs w:val="21"/>
    </w:rPr>
  </w:style>
  <w:style w:type="character" w:styleId="18">
    <w:name w:val="HTML Cite"/>
    <w:qFormat/>
    <w:uiPriority w:val="0"/>
    <w:rPr>
      <w:rFonts w:ascii="Times New Roman" w:hAnsi="Times New Roman" w:eastAsia="宋体" w:cs="Times New Roman"/>
    </w:rPr>
  </w:style>
  <w:style w:type="character" w:styleId="19">
    <w:name w:val="HTML Keyboard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0">
    <w:name w:val="HTML Sample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1">
    <w:name w:val="日期 Char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框文本 Char"/>
    <w:link w:val="4"/>
    <w:uiPriority w:val="0"/>
    <w:rPr>
      <w:kern w:val="2"/>
      <w:sz w:val="18"/>
      <w:szCs w:val="18"/>
    </w:rPr>
  </w:style>
  <w:style w:type="character" w:customStyle="1" w:styleId="23">
    <w:name w:val="页脚 Char"/>
    <w:link w:val="5"/>
    <w:uiPriority w:val="0"/>
    <w:rPr>
      <w:kern w:val="2"/>
      <w:sz w:val="18"/>
    </w:rPr>
  </w:style>
  <w:style w:type="character" w:customStyle="1" w:styleId="24">
    <w:name w:val="标题 Char"/>
    <w:link w:val="7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5">
    <w:name w:val="fontstrikethrough"/>
    <w:qFormat/>
    <w:uiPriority w:val="0"/>
    <w:rPr>
      <w:rFonts w:ascii="Times New Roman" w:hAnsi="Times New Roman" w:eastAsia="宋体" w:cs="Times New Roman"/>
      <w:strike/>
    </w:rPr>
  </w:style>
  <w:style w:type="character" w:customStyle="1" w:styleId="26">
    <w:name w:val="fontborder"/>
    <w:qFormat/>
    <w:uiPriority w:val="0"/>
    <w:rPr>
      <w:rFonts w:ascii="Times New Roman" w:hAnsi="Times New Roman" w:eastAsia="宋体" w:cs="Times New Roman"/>
      <w:bdr w:val="single" w:color="000000" w:sz="4" w:space="0"/>
    </w:rPr>
  </w:style>
  <w:style w:type="paragraph" w:customStyle="1" w:styleId="27">
    <w:name w:val=" Char"/>
    <w:basedOn w:val="1"/>
    <w:uiPriority w:val="0"/>
    <w:pPr>
      <w:tabs>
        <w:tab w:val="left" w:pos="360"/>
      </w:tabs>
      <w:spacing w:line="360" w:lineRule="auto"/>
      <w:ind w:left="482" w:firstLine="200" w:firstLineChars="200"/>
    </w:pPr>
  </w:style>
  <w:style w:type="paragraph" w:customStyle="1" w:styleId="28">
    <w:name w:val="Char"/>
    <w:basedOn w:val="1"/>
    <w:uiPriority w:val="0"/>
    <w:pPr>
      <w:tabs>
        <w:tab w:val="left" w:pos="360"/>
      </w:tabs>
      <w:spacing w:line="360" w:lineRule="auto"/>
      <w:ind w:left="482" w:firstLine="200" w:firstLineChars="200"/>
    </w:pPr>
  </w:style>
  <w:style w:type="paragraph" w:customStyle="1" w:styleId="29">
    <w:name w:val="Char1 Char Char Char"/>
    <w:basedOn w:val="1"/>
    <w:uiPriority w:val="0"/>
    <w:pPr>
      <w:snapToGrid w:val="0"/>
      <w:spacing w:line="360" w:lineRule="auto"/>
      <w:ind w:firstLine="200" w:firstLineChars="200"/>
    </w:pPr>
    <w:rPr>
      <w:rFonts w:ascii="黑体" w:hAnsi="宋体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3189</Words>
  <Characters>4762</Characters>
  <Lines>43</Lines>
  <Paragraphs>12</Paragraphs>
  <TotalTime>4.33333333333333</TotalTime>
  <ScaleCrop>false</ScaleCrop>
  <LinksUpToDate>false</LinksUpToDate>
  <CharactersWithSpaces>5094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2023-05-17T14:54:00Z</dcterms:created>
  <dc:creator>微软用户</dc:creator>
  <cp:lastModifiedBy>WPS_1656574716</cp:lastModifiedBy>
  <cp:lastPrinted>2022-11-21T14:49:00Z</cp:lastPrinted>
  <dcterms:modified xsi:type="dcterms:W3CDTF">2023-06-05T09:35:16Z</dcterms:modified>
  <dc:title>广西新华书店集团有限公司办文规则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1974145590D74AF8B5AF994FA54E239C_13</vt:lpwstr>
  </property>
</Properties>
</file>