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6" w:lineRule="exact"/>
        <w:jc w:val="both"/>
        <w:textAlignment w:val="auto"/>
        <w:rPr>
          <w:rFonts w:hint="eastAsia" w:ascii="黑体" w:hAnsi="黑体" w:eastAsia="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637" w:beforeLines="100" w:after="637" w:afterLines="100" w:line="560" w:lineRule="exact"/>
        <w:jc w:val="center"/>
        <w:textAlignment w:val="auto"/>
        <w:rPr>
          <w:rFonts w:ascii="方正公文小标宋" w:eastAsia="方正公文小标宋"/>
          <w:sz w:val="42"/>
          <w:szCs w:val="42"/>
        </w:rPr>
      </w:pPr>
      <w:r>
        <w:rPr>
          <w:rFonts w:hint="eastAsia" w:ascii="方正公文小标宋" w:eastAsia="方正公文小标宋"/>
          <w:sz w:val="42"/>
          <w:szCs w:val="42"/>
        </w:rPr>
        <w:t>202</w:t>
      </w:r>
      <w:r>
        <w:rPr>
          <w:rFonts w:hint="eastAsia" w:ascii="方正公文小标宋" w:eastAsia="方正公文小标宋"/>
          <w:sz w:val="42"/>
          <w:szCs w:val="42"/>
          <w:lang w:val="en-US" w:eastAsia="zh-CN"/>
        </w:rPr>
        <w:t>3</w:t>
      </w:r>
      <w:r>
        <w:rPr>
          <w:rFonts w:hint="eastAsia" w:ascii="方正公文小标宋" w:eastAsia="方正公文小标宋"/>
          <w:sz w:val="42"/>
          <w:szCs w:val="42"/>
        </w:rPr>
        <w:t>年秸秆综合利用</w:t>
      </w:r>
      <w:r>
        <w:rPr>
          <w:rFonts w:hint="eastAsia" w:ascii="方正公文小标宋" w:eastAsia="方正公文小标宋"/>
          <w:sz w:val="42"/>
          <w:szCs w:val="42"/>
          <w:lang w:eastAsia="zh-CN"/>
        </w:rPr>
        <w:t>项目</w:t>
      </w:r>
      <w:r>
        <w:rPr>
          <w:rFonts w:hint="eastAsia" w:ascii="方正公文小标宋" w:eastAsia="方正公文小标宋"/>
          <w:sz w:val="42"/>
          <w:szCs w:val="42"/>
        </w:rPr>
        <w:t>自评估表</w:t>
      </w:r>
    </w:p>
    <w:p>
      <w:pPr>
        <w:keepNext w:val="0"/>
        <w:keepLines w:val="0"/>
        <w:pageBreakBefore w:val="0"/>
        <w:widowControl w:val="0"/>
        <w:kinsoku/>
        <w:wordWrap/>
        <w:overflowPunct/>
        <w:topLinePunct w:val="0"/>
        <w:autoSpaceDE/>
        <w:autoSpaceDN/>
        <w:bidi w:val="0"/>
        <w:adjustRightInd/>
        <w:snapToGrid/>
        <w:spacing w:after="129" w:afterLines="20" w:line="280" w:lineRule="exact"/>
        <w:textAlignment w:val="auto"/>
        <w:rPr>
          <w:rFonts w:ascii="宋体" w:hAnsi="宋体"/>
          <w:sz w:val="32"/>
          <w:szCs w:val="32"/>
        </w:rPr>
      </w:pPr>
      <w:r>
        <w:rPr>
          <w:rFonts w:ascii="宋体" w:hAnsi="宋体"/>
          <w:sz w:val="24"/>
        </w:rPr>
        <w:t>县（市、区）：</w:t>
      </w:r>
    </w:p>
    <w:tbl>
      <w:tblPr>
        <w:tblStyle w:val="5"/>
        <w:tblW w:w="5069" w:type="pct"/>
        <w:jc w:val="center"/>
        <w:tblLayout w:type="autofit"/>
        <w:tblCellMar>
          <w:top w:w="0" w:type="dxa"/>
          <w:left w:w="0" w:type="dxa"/>
          <w:bottom w:w="0" w:type="dxa"/>
          <w:right w:w="0" w:type="dxa"/>
        </w:tblCellMar>
      </w:tblPr>
      <w:tblGrid>
        <w:gridCol w:w="486"/>
        <w:gridCol w:w="788"/>
        <w:gridCol w:w="536"/>
        <w:gridCol w:w="1234"/>
        <w:gridCol w:w="446"/>
        <w:gridCol w:w="4961"/>
      </w:tblGrid>
      <w:tr>
        <w:tblPrEx>
          <w:tblCellMar>
            <w:top w:w="0" w:type="dxa"/>
            <w:left w:w="0" w:type="dxa"/>
            <w:bottom w:w="0" w:type="dxa"/>
            <w:right w:w="0" w:type="dxa"/>
          </w:tblCellMar>
        </w:tblPrEx>
        <w:trPr>
          <w:trHeight w:val="454" w:hRule="atLeast"/>
          <w:tblHeader/>
          <w:jc w:val="center"/>
        </w:trPr>
        <w:tc>
          <w:tcPr>
            <w:tcW w:w="288"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b/>
                <w:bCs/>
                <w:sz w:val="21"/>
                <w:szCs w:val="21"/>
              </w:rPr>
            </w:pPr>
            <w:r>
              <w:rPr>
                <w:rFonts w:hint="eastAsia" w:ascii="宋体" w:hAnsi="宋体" w:cs="宋体"/>
                <w:b/>
                <w:sz w:val="21"/>
                <w:szCs w:val="21"/>
              </w:rPr>
              <w:t>序号</w:t>
            </w:r>
          </w:p>
        </w:tc>
        <w:tc>
          <w:tcPr>
            <w:tcW w:w="78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b/>
                <w:bCs/>
                <w:sz w:val="21"/>
                <w:szCs w:val="21"/>
              </w:rPr>
            </w:pPr>
            <w:r>
              <w:rPr>
                <w:rFonts w:hint="eastAsia" w:ascii="宋体" w:hAnsi="宋体" w:cs="宋体"/>
                <w:b/>
                <w:sz w:val="21"/>
                <w:szCs w:val="21"/>
              </w:rPr>
              <w:t>评估指标</w:t>
            </w:r>
          </w:p>
        </w:tc>
        <w:tc>
          <w:tcPr>
            <w:tcW w:w="730"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b/>
                <w:bCs/>
                <w:sz w:val="21"/>
                <w:szCs w:val="21"/>
              </w:rPr>
            </w:pPr>
            <w:r>
              <w:rPr>
                <w:rFonts w:hint="eastAsia" w:ascii="宋体" w:hAnsi="宋体" w:cs="宋体"/>
                <w:b/>
                <w:sz w:val="21"/>
                <w:szCs w:val="21"/>
              </w:rPr>
              <w:t>评估内容</w:t>
            </w:r>
          </w:p>
        </w:tc>
        <w:tc>
          <w:tcPr>
            <w:tcW w:w="26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b/>
                <w:bCs/>
                <w:sz w:val="21"/>
                <w:szCs w:val="21"/>
              </w:rPr>
            </w:pPr>
            <w:r>
              <w:rPr>
                <w:rFonts w:hint="eastAsia" w:ascii="宋体" w:hAnsi="宋体" w:cs="宋体"/>
                <w:b/>
                <w:sz w:val="21"/>
                <w:szCs w:val="21"/>
              </w:rPr>
              <w:t>分值</w:t>
            </w:r>
          </w:p>
        </w:tc>
        <w:tc>
          <w:tcPr>
            <w:tcW w:w="2935"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b/>
                <w:bCs/>
                <w:sz w:val="21"/>
                <w:szCs w:val="21"/>
              </w:rPr>
            </w:pPr>
            <w:r>
              <w:rPr>
                <w:rFonts w:hint="eastAsia" w:ascii="宋体" w:hAnsi="宋体" w:cs="宋体"/>
                <w:b/>
                <w:sz w:val="21"/>
                <w:szCs w:val="21"/>
              </w:rPr>
              <w:t>评估要点</w:t>
            </w:r>
          </w:p>
        </w:tc>
      </w:tr>
      <w:tr>
        <w:tblPrEx>
          <w:tblCellMar>
            <w:top w:w="0" w:type="dxa"/>
            <w:left w:w="0" w:type="dxa"/>
            <w:bottom w:w="0" w:type="dxa"/>
            <w:right w:w="0" w:type="dxa"/>
          </w:tblCellMar>
        </w:tblPrEx>
        <w:trPr>
          <w:trHeight w:val="1087"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1</w:t>
            </w:r>
          </w:p>
        </w:tc>
        <w:tc>
          <w:tcPr>
            <w:tcW w:w="4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组</w:t>
            </w:r>
          </w:p>
          <w:p>
            <w:pPr>
              <w:spacing w:line="260" w:lineRule="exact"/>
              <w:jc w:val="center"/>
              <w:rPr>
                <w:rFonts w:ascii="宋体" w:hAnsi="宋体" w:cs="宋体"/>
                <w:sz w:val="21"/>
                <w:szCs w:val="21"/>
              </w:rPr>
            </w:pPr>
            <w:r>
              <w:rPr>
                <w:rFonts w:hint="eastAsia" w:ascii="宋体" w:hAnsi="宋体" w:cs="宋体"/>
                <w:sz w:val="21"/>
                <w:szCs w:val="21"/>
              </w:rPr>
              <w:t>织</w:t>
            </w:r>
          </w:p>
          <w:p>
            <w:pPr>
              <w:spacing w:line="260" w:lineRule="exact"/>
              <w:jc w:val="center"/>
              <w:rPr>
                <w:rFonts w:ascii="宋体" w:hAnsi="宋体" w:cs="宋体"/>
                <w:sz w:val="21"/>
                <w:szCs w:val="21"/>
              </w:rPr>
            </w:pPr>
            <w:r>
              <w:rPr>
                <w:rFonts w:hint="eastAsia" w:ascii="宋体" w:hAnsi="宋体" w:cs="宋体"/>
                <w:sz w:val="21"/>
                <w:szCs w:val="21"/>
              </w:rPr>
              <w:t>管</w:t>
            </w:r>
          </w:p>
          <w:p>
            <w:pPr>
              <w:spacing w:line="260" w:lineRule="exact"/>
              <w:jc w:val="center"/>
              <w:rPr>
                <w:rFonts w:ascii="宋体" w:hAnsi="宋体" w:cs="宋体"/>
                <w:sz w:val="21"/>
                <w:szCs w:val="21"/>
              </w:rPr>
            </w:pPr>
            <w:r>
              <w:rPr>
                <w:rFonts w:hint="eastAsia" w:ascii="宋体" w:hAnsi="宋体" w:cs="宋体"/>
                <w:sz w:val="21"/>
                <w:szCs w:val="21"/>
              </w:rPr>
              <w:t>理</w:t>
            </w:r>
          </w:p>
          <w:p>
            <w:pPr>
              <w:spacing w:line="260" w:lineRule="exact"/>
              <w:jc w:val="center"/>
              <w:rPr>
                <w:rFonts w:ascii="宋体" w:hAnsi="宋体" w:cs="宋体"/>
                <w:sz w:val="21"/>
                <w:szCs w:val="21"/>
              </w:rPr>
            </w:pPr>
            <w:r>
              <w:rPr>
                <w:rFonts w:hint="eastAsia" w:ascii="宋体" w:hAnsi="宋体" w:cs="宋体"/>
                <w:sz w:val="21"/>
                <w:szCs w:val="21"/>
              </w:rPr>
              <w:t>(15分)</w:t>
            </w:r>
          </w:p>
        </w:tc>
        <w:tc>
          <w:tcPr>
            <w:tcW w:w="31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实施</w:t>
            </w:r>
          </w:p>
          <w:p>
            <w:pPr>
              <w:spacing w:line="260" w:lineRule="exact"/>
              <w:jc w:val="center"/>
              <w:rPr>
                <w:rFonts w:ascii="宋体" w:hAnsi="宋体" w:cs="宋体"/>
                <w:sz w:val="21"/>
                <w:szCs w:val="21"/>
              </w:rPr>
            </w:pPr>
            <w:r>
              <w:rPr>
                <w:rFonts w:hint="eastAsia" w:ascii="宋体" w:hAnsi="宋体" w:cs="宋体"/>
                <w:sz w:val="21"/>
                <w:szCs w:val="21"/>
              </w:rPr>
              <w:t>方案</w:t>
            </w: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实施方案科学</w:t>
            </w:r>
          </w:p>
          <w:p>
            <w:pPr>
              <w:spacing w:line="260" w:lineRule="exact"/>
              <w:jc w:val="center"/>
              <w:rPr>
                <w:rFonts w:ascii="宋体" w:hAnsi="宋体" w:cs="宋体"/>
                <w:sz w:val="21"/>
                <w:szCs w:val="21"/>
              </w:rPr>
            </w:pPr>
            <w:r>
              <w:rPr>
                <w:rFonts w:hint="eastAsia" w:ascii="宋体" w:hAnsi="宋体" w:cs="宋体"/>
                <w:sz w:val="21"/>
                <w:szCs w:val="21"/>
              </w:rPr>
              <w:t>合理</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7</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制定年度秸秆综合利用实施方案，且方案明确建设内容、保障机制、资金分配、资金管理、补贴标准、补贴程序、进度安排等内容的，得7分，方案内容每少一项扣1分，扣完为止。</w:t>
            </w:r>
          </w:p>
        </w:tc>
      </w:tr>
      <w:tr>
        <w:tblPrEx>
          <w:tblCellMar>
            <w:top w:w="0" w:type="dxa"/>
            <w:left w:w="0" w:type="dxa"/>
            <w:bottom w:w="0" w:type="dxa"/>
            <w:right w:w="0" w:type="dxa"/>
          </w:tblCellMar>
        </w:tblPrEx>
        <w:trPr>
          <w:trHeight w:val="1079"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2</w:t>
            </w:r>
          </w:p>
        </w:tc>
        <w:tc>
          <w:tcPr>
            <w:tcW w:w="4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方案批复与</w:t>
            </w:r>
          </w:p>
          <w:p>
            <w:pPr>
              <w:spacing w:line="260" w:lineRule="exact"/>
              <w:jc w:val="center"/>
              <w:rPr>
                <w:rFonts w:ascii="宋体" w:hAnsi="宋体" w:cs="宋体"/>
                <w:sz w:val="21"/>
                <w:szCs w:val="21"/>
              </w:rPr>
            </w:pPr>
            <w:r>
              <w:rPr>
                <w:rFonts w:hint="eastAsia" w:ascii="宋体" w:hAnsi="宋体" w:cs="宋体"/>
                <w:sz w:val="21"/>
                <w:szCs w:val="21"/>
              </w:rPr>
              <w:t>公示</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3</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批复后的县级实施方案在202</w:t>
            </w:r>
            <w:r>
              <w:rPr>
                <w:rFonts w:hint="eastAsia" w:ascii="宋体" w:hAnsi="宋体" w:cs="宋体"/>
                <w:sz w:val="21"/>
                <w:szCs w:val="21"/>
                <w:lang w:val="en-US" w:eastAsia="zh-CN"/>
              </w:rPr>
              <w:t>3</w:t>
            </w:r>
            <w:r>
              <w:rPr>
                <w:rFonts w:hint="eastAsia" w:ascii="宋体" w:hAnsi="宋体" w:cs="宋体"/>
                <w:sz w:val="21"/>
                <w:szCs w:val="21"/>
              </w:rPr>
              <w:t>年</w:t>
            </w:r>
            <w:r>
              <w:rPr>
                <w:rFonts w:hint="eastAsia" w:ascii="宋体" w:hAnsi="宋体" w:cs="宋体"/>
                <w:sz w:val="21"/>
                <w:szCs w:val="21"/>
                <w:lang w:val="en-US" w:eastAsia="zh-CN"/>
              </w:rPr>
              <w:t>7</w:t>
            </w:r>
            <w:r>
              <w:rPr>
                <w:rFonts w:hint="eastAsia" w:ascii="宋体" w:hAnsi="宋体" w:cs="宋体"/>
                <w:sz w:val="21"/>
                <w:szCs w:val="21"/>
              </w:rPr>
              <w:t>月</w:t>
            </w:r>
            <w:r>
              <w:rPr>
                <w:rFonts w:hint="eastAsia" w:ascii="宋体" w:hAnsi="宋体" w:cs="宋体"/>
                <w:sz w:val="21"/>
                <w:szCs w:val="21"/>
                <w:lang w:val="en-US" w:eastAsia="zh-CN"/>
              </w:rPr>
              <w:t>10</w:t>
            </w:r>
            <w:r>
              <w:rPr>
                <w:rFonts w:hint="eastAsia" w:ascii="宋体" w:hAnsi="宋体" w:cs="宋体"/>
                <w:sz w:val="21"/>
                <w:szCs w:val="21"/>
              </w:rPr>
              <w:t>日前报省农业农村厅备案，得2分，否则小项不得分；方案批复后在县级人民政府网站或市级农业部门网站等政府门户上公开的，得1分，否则小项不得分。</w:t>
            </w:r>
          </w:p>
        </w:tc>
      </w:tr>
      <w:tr>
        <w:tblPrEx>
          <w:tblCellMar>
            <w:top w:w="0" w:type="dxa"/>
            <w:left w:w="0" w:type="dxa"/>
            <w:bottom w:w="0" w:type="dxa"/>
            <w:right w:w="0" w:type="dxa"/>
          </w:tblCellMar>
        </w:tblPrEx>
        <w:trPr>
          <w:trHeight w:val="870" w:hRule="atLeast"/>
          <w:jc w:val="center"/>
        </w:trPr>
        <w:tc>
          <w:tcPr>
            <w:tcW w:w="288" w:type="pct"/>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3</w:t>
            </w:r>
          </w:p>
        </w:tc>
        <w:tc>
          <w:tcPr>
            <w:tcW w:w="466" w:type="pct"/>
            <w:vMerge w:val="continue"/>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p>
        </w:tc>
        <w:tc>
          <w:tcPr>
            <w:tcW w:w="317" w:type="pc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组织</w:t>
            </w:r>
          </w:p>
          <w:p>
            <w:pPr>
              <w:spacing w:line="260" w:lineRule="exact"/>
              <w:jc w:val="center"/>
              <w:rPr>
                <w:rFonts w:ascii="宋体" w:hAnsi="宋体" w:cs="宋体"/>
                <w:sz w:val="21"/>
                <w:szCs w:val="21"/>
              </w:rPr>
            </w:pPr>
            <w:r>
              <w:rPr>
                <w:rFonts w:hint="eastAsia" w:ascii="宋体" w:hAnsi="宋体" w:cs="宋体"/>
                <w:sz w:val="21"/>
                <w:szCs w:val="21"/>
              </w:rPr>
              <w:t>领导</w:t>
            </w:r>
          </w:p>
        </w:tc>
        <w:tc>
          <w:tcPr>
            <w:tcW w:w="730" w:type="pc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政府专门成立</w:t>
            </w:r>
          </w:p>
          <w:p>
            <w:pPr>
              <w:spacing w:line="260" w:lineRule="exact"/>
              <w:jc w:val="center"/>
              <w:rPr>
                <w:rFonts w:ascii="宋体" w:hAnsi="宋体" w:cs="宋体"/>
                <w:sz w:val="21"/>
                <w:szCs w:val="21"/>
              </w:rPr>
            </w:pPr>
            <w:r>
              <w:rPr>
                <w:rFonts w:hint="eastAsia" w:ascii="宋体" w:hAnsi="宋体" w:cs="宋体"/>
                <w:sz w:val="21"/>
                <w:szCs w:val="21"/>
              </w:rPr>
              <w:t>秸秆综合利用</w:t>
            </w:r>
          </w:p>
          <w:p>
            <w:pPr>
              <w:spacing w:line="260" w:lineRule="exact"/>
              <w:jc w:val="center"/>
              <w:rPr>
                <w:rFonts w:ascii="宋体" w:hAnsi="宋体" w:cs="宋体"/>
                <w:sz w:val="21"/>
                <w:szCs w:val="21"/>
              </w:rPr>
            </w:pPr>
            <w:r>
              <w:rPr>
                <w:rFonts w:hint="eastAsia" w:ascii="宋体" w:hAnsi="宋体" w:cs="宋体"/>
                <w:sz w:val="21"/>
                <w:szCs w:val="21"/>
              </w:rPr>
              <w:t>领导小组</w:t>
            </w:r>
          </w:p>
        </w:tc>
        <w:tc>
          <w:tcPr>
            <w:tcW w:w="264" w:type="pct"/>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2</w:t>
            </w:r>
          </w:p>
        </w:tc>
        <w:tc>
          <w:tcPr>
            <w:tcW w:w="2935" w:type="pc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成立以县（市、区）政府负责同志牵头的秸秆综合利用领导小组，推进秸秆综合利用工作，得2分，否则不得分。</w:t>
            </w:r>
          </w:p>
        </w:tc>
      </w:tr>
      <w:tr>
        <w:tblPrEx>
          <w:tblCellMar>
            <w:top w:w="0" w:type="dxa"/>
            <w:left w:w="0" w:type="dxa"/>
            <w:bottom w:w="0" w:type="dxa"/>
            <w:right w:w="0" w:type="dxa"/>
          </w:tblCellMar>
        </w:tblPrEx>
        <w:trPr>
          <w:trHeight w:val="1095" w:hRule="atLeast"/>
          <w:jc w:val="center"/>
        </w:trPr>
        <w:tc>
          <w:tcPr>
            <w:tcW w:w="288" w:type="pct"/>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p>
        </w:tc>
        <w:tc>
          <w:tcPr>
            <w:tcW w:w="466" w:type="pct"/>
            <w:vMerge w:val="continue"/>
            <w:tcBorders>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p>
        </w:tc>
        <w:tc>
          <w:tcPr>
            <w:tcW w:w="317" w:type="pct"/>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技术</w:t>
            </w:r>
          </w:p>
          <w:p>
            <w:pPr>
              <w:spacing w:line="260" w:lineRule="exact"/>
              <w:jc w:val="center"/>
              <w:rPr>
                <w:rFonts w:ascii="宋体" w:hAnsi="宋体" w:cs="宋体"/>
                <w:sz w:val="21"/>
                <w:szCs w:val="21"/>
              </w:rPr>
            </w:pPr>
            <w:r>
              <w:rPr>
                <w:rFonts w:hint="eastAsia" w:ascii="宋体" w:hAnsi="宋体" w:cs="宋体"/>
                <w:sz w:val="21"/>
                <w:szCs w:val="21"/>
              </w:rPr>
              <w:t>支撑</w:t>
            </w:r>
          </w:p>
        </w:tc>
        <w:tc>
          <w:tcPr>
            <w:tcW w:w="730" w:type="pc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技术推广、</w:t>
            </w:r>
          </w:p>
          <w:p>
            <w:pPr>
              <w:spacing w:line="260" w:lineRule="exact"/>
              <w:jc w:val="center"/>
              <w:rPr>
                <w:rFonts w:ascii="宋体" w:hAnsi="宋体" w:cs="宋体"/>
                <w:sz w:val="21"/>
                <w:szCs w:val="21"/>
              </w:rPr>
            </w:pPr>
            <w:r>
              <w:rPr>
                <w:rFonts w:hint="eastAsia" w:ascii="宋体" w:hAnsi="宋体" w:cs="宋体"/>
                <w:sz w:val="21"/>
                <w:szCs w:val="21"/>
              </w:rPr>
              <w:t>项目培训、</w:t>
            </w:r>
          </w:p>
          <w:p>
            <w:pPr>
              <w:spacing w:line="260" w:lineRule="exact"/>
              <w:jc w:val="center"/>
              <w:rPr>
                <w:rFonts w:ascii="宋体" w:hAnsi="宋体" w:cs="宋体"/>
                <w:sz w:val="21"/>
                <w:szCs w:val="21"/>
              </w:rPr>
            </w:pPr>
            <w:r>
              <w:rPr>
                <w:rFonts w:hint="eastAsia" w:ascii="宋体" w:hAnsi="宋体" w:cs="宋体"/>
                <w:sz w:val="21"/>
                <w:szCs w:val="21"/>
              </w:rPr>
              <w:t>示范观摩</w:t>
            </w:r>
          </w:p>
        </w:tc>
        <w:tc>
          <w:tcPr>
            <w:tcW w:w="264" w:type="pct"/>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3</w:t>
            </w:r>
          </w:p>
        </w:tc>
        <w:tc>
          <w:tcPr>
            <w:tcW w:w="2935" w:type="pc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成立县（市、区）技术指导组，得1分，未成立不得分；加强和各级技术专家组协作，积极推广秸秆综合利用技术，开展技术服务，发挥实际作用（开展模式总结、技术总结，开展实地技术指导、培训授课等），得2分，否则不得分。</w:t>
            </w:r>
          </w:p>
        </w:tc>
      </w:tr>
      <w:tr>
        <w:tblPrEx>
          <w:tblCellMar>
            <w:top w:w="0" w:type="dxa"/>
            <w:left w:w="0" w:type="dxa"/>
            <w:bottom w:w="0" w:type="dxa"/>
            <w:right w:w="0" w:type="dxa"/>
          </w:tblCellMar>
        </w:tblPrEx>
        <w:trPr>
          <w:trHeight w:val="1106"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4</w:t>
            </w:r>
          </w:p>
        </w:tc>
        <w:tc>
          <w:tcPr>
            <w:tcW w:w="466" w:type="pct"/>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实</w:t>
            </w:r>
          </w:p>
          <w:p>
            <w:pPr>
              <w:spacing w:line="260" w:lineRule="exact"/>
              <w:jc w:val="center"/>
              <w:rPr>
                <w:rFonts w:ascii="宋体" w:hAnsi="宋体" w:cs="宋体"/>
                <w:sz w:val="21"/>
                <w:szCs w:val="21"/>
              </w:rPr>
            </w:pPr>
            <w:r>
              <w:rPr>
                <w:rFonts w:hint="eastAsia" w:ascii="宋体" w:hAnsi="宋体" w:cs="宋体"/>
                <w:sz w:val="21"/>
                <w:szCs w:val="21"/>
              </w:rPr>
              <w:t>施</w:t>
            </w:r>
          </w:p>
          <w:p>
            <w:pPr>
              <w:spacing w:line="260" w:lineRule="exact"/>
              <w:jc w:val="center"/>
              <w:rPr>
                <w:rFonts w:ascii="宋体" w:hAnsi="宋体" w:cs="宋体"/>
                <w:sz w:val="21"/>
                <w:szCs w:val="21"/>
              </w:rPr>
            </w:pPr>
            <w:r>
              <w:rPr>
                <w:rFonts w:hint="eastAsia" w:ascii="宋体" w:hAnsi="宋体" w:cs="宋体"/>
                <w:sz w:val="21"/>
                <w:szCs w:val="21"/>
              </w:rPr>
              <w:t>执</w:t>
            </w:r>
          </w:p>
          <w:p>
            <w:pPr>
              <w:spacing w:line="260" w:lineRule="exact"/>
              <w:jc w:val="center"/>
              <w:rPr>
                <w:rFonts w:ascii="宋体" w:hAnsi="宋体" w:cs="宋体"/>
                <w:sz w:val="21"/>
                <w:szCs w:val="21"/>
              </w:rPr>
            </w:pPr>
            <w:r>
              <w:rPr>
                <w:rFonts w:hint="eastAsia" w:ascii="宋体" w:hAnsi="宋体" w:cs="宋体"/>
                <w:sz w:val="21"/>
                <w:szCs w:val="21"/>
              </w:rPr>
              <w:t>行</w:t>
            </w:r>
          </w:p>
          <w:p>
            <w:pPr>
              <w:spacing w:line="260" w:lineRule="exact"/>
              <w:jc w:val="center"/>
              <w:rPr>
                <w:rFonts w:ascii="宋体" w:hAnsi="宋体" w:cs="宋体"/>
                <w:sz w:val="21"/>
                <w:szCs w:val="21"/>
              </w:rPr>
            </w:pPr>
            <w:r>
              <w:rPr>
                <w:rFonts w:hint="eastAsia" w:ascii="宋体" w:hAnsi="宋体" w:cs="宋体"/>
                <w:sz w:val="21"/>
                <w:szCs w:val="21"/>
              </w:rPr>
              <w:t>(35分)</w:t>
            </w:r>
          </w:p>
        </w:tc>
        <w:tc>
          <w:tcPr>
            <w:tcW w:w="31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补贴</w:t>
            </w:r>
          </w:p>
          <w:p>
            <w:pPr>
              <w:spacing w:line="260" w:lineRule="exact"/>
              <w:jc w:val="center"/>
              <w:rPr>
                <w:rFonts w:ascii="宋体" w:hAnsi="宋体" w:cs="宋体"/>
                <w:sz w:val="21"/>
                <w:szCs w:val="21"/>
              </w:rPr>
            </w:pPr>
            <w:r>
              <w:rPr>
                <w:rFonts w:hint="eastAsia" w:ascii="宋体" w:hAnsi="宋体" w:cs="宋体"/>
                <w:sz w:val="21"/>
                <w:szCs w:val="21"/>
              </w:rPr>
              <w:t>对象</w:t>
            </w:r>
          </w:p>
          <w:p>
            <w:pPr>
              <w:spacing w:line="260" w:lineRule="exact"/>
              <w:jc w:val="center"/>
              <w:rPr>
                <w:rFonts w:ascii="宋体" w:hAnsi="宋体" w:cs="宋体"/>
                <w:sz w:val="21"/>
                <w:szCs w:val="21"/>
              </w:rPr>
            </w:pPr>
            <w:r>
              <w:rPr>
                <w:rFonts w:hint="eastAsia" w:ascii="宋体" w:hAnsi="宋体" w:cs="宋体"/>
                <w:sz w:val="21"/>
                <w:szCs w:val="21"/>
              </w:rPr>
              <w:t>选取</w:t>
            </w: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补贴对象选取</w:t>
            </w:r>
          </w:p>
          <w:p>
            <w:pPr>
              <w:spacing w:line="260" w:lineRule="exact"/>
              <w:jc w:val="center"/>
              <w:rPr>
                <w:rFonts w:ascii="宋体" w:hAnsi="宋体" w:cs="宋体"/>
                <w:sz w:val="21"/>
                <w:szCs w:val="21"/>
              </w:rPr>
            </w:pPr>
            <w:r>
              <w:rPr>
                <w:rFonts w:hint="eastAsia" w:ascii="宋体" w:hAnsi="宋体" w:cs="宋体"/>
                <w:sz w:val="21"/>
                <w:szCs w:val="21"/>
              </w:rPr>
              <w:t>流程符合地方</w:t>
            </w:r>
          </w:p>
          <w:p>
            <w:pPr>
              <w:spacing w:line="260" w:lineRule="exact"/>
              <w:jc w:val="center"/>
              <w:rPr>
                <w:rFonts w:ascii="宋体" w:hAnsi="宋体" w:cs="宋体"/>
                <w:sz w:val="21"/>
                <w:szCs w:val="21"/>
              </w:rPr>
            </w:pPr>
            <w:r>
              <w:rPr>
                <w:rFonts w:hint="eastAsia" w:ascii="宋体" w:hAnsi="宋体" w:cs="宋体"/>
                <w:sz w:val="21"/>
                <w:szCs w:val="21"/>
              </w:rPr>
              <w:t>财务规定</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5</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补贴对象选取流程符合地方财务规定，单项额度较大的补贴资金按地方财务规定以公开招标等方式确定补贴对象的，得5分；每存在1家不符合规定的参与主体扣1分，扣完为止。</w:t>
            </w:r>
          </w:p>
        </w:tc>
      </w:tr>
      <w:tr>
        <w:tblPrEx>
          <w:tblCellMar>
            <w:top w:w="0" w:type="dxa"/>
            <w:left w:w="0" w:type="dxa"/>
            <w:bottom w:w="0" w:type="dxa"/>
            <w:right w:w="0" w:type="dxa"/>
          </w:tblCellMar>
        </w:tblPrEx>
        <w:trPr>
          <w:trHeight w:val="1138"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5</w:t>
            </w:r>
          </w:p>
        </w:tc>
        <w:tc>
          <w:tcPr>
            <w:tcW w:w="46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合同</w:t>
            </w:r>
          </w:p>
          <w:p>
            <w:pPr>
              <w:spacing w:line="260" w:lineRule="exact"/>
              <w:jc w:val="center"/>
              <w:rPr>
                <w:rFonts w:ascii="宋体" w:hAnsi="宋体" w:cs="宋体"/>
                <w:sz w:val="21"/>
                <w:szCs w:val="21"/>
              </w:rPr>
            </w:pPr>
            <w:r>
              <w:rPr>
                <w:rFonts w:hint="eastAsia" w:ascii="宋体" w:hAnsi="宋体" w:cs="宋体"/>
                <w:sz w:val="21"/>
                <w:szCs w:val="21"/>
              </w:rPr>
              <w:t>管理</w:t>
            </w: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政府部门与</w:t>
            </w:r>
          </w:p>
          <w:p>
            <w:pPr>
              <w:spacing w:line="260" w:lineRule="exact"/>
              <w:jc w:val="center"/>
              <w:rPr>
                <w:rFonts w:ascii="宋体" w:hAnsi="宋体" w:cs="宋体"/>
                <w:sz w:val="21"/>
                <w:szCs w:val="21"/>
              </w:rPr>
            </w:pPr>
            <w:r>
              <w:rPr>
                <w:rFonts w:hint="eastAsia" w:ascii="宋体" w:hAnsi="宋体" w:cs="宋体"/>
                <w:sz w:val="21"/>
                <w:szCs w:val="21"/>
              </w:rPr>
              <w:t>市场主体在签订协议，进行</w:t>
            </w:r>
          </w:p>
          <w:p>
            <w:pPr>
              <w:spacing w:line="260" w:lineRule="exact"/>
              <w:jc w:val="center"/>
              <w:rPr>
                <w:rFonts w:ascii="宋体" w:hAnsi="宋体" w:cs="宋体"/>
                <w:sz w:val="21"/>
                <w:szCs w:val="21"/>
              </w:rPr>
            </w:pPr>
            <w:r>
              <w:rPr>
                <w:rFonts w:hint="eastAsia" w:ascii="宋体" w:hAnsi="宋体" w:cs="宋体"/>
                <w:sz w:val="21"/>
                <w:szCs w:val="21"/>
              </w:rPr>
              <w:t>合同化管理</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5</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pacing w:val="-6"/>
                <w:sz w:val="21"/>
                <w:szCs w:val="21"/>
              </w:rPr>
              <w:t>与承担建设内容的市场化主体均签订了协议合同的，得5分；每有一家未签订扣0.5分，扣完为止；均未签订，不得分。</w:t>
            </w:r>
          </w:p>
        </w:tc>
      </w:tr>
      <w:tr>
        <w:tblPrEx>
          <w:tblCellMar>
            <w:top w:w="0" w:type="dxa"/>
            <w:left w:w="0" w:type="dxa"/>
            <w:bottom w:w="0" w:type="dxa"/>
            <w:right w:w="0" w:type="dxa"/>
          </w:tblCellMar>
        </w:tblPrEx>
        <w:trPr>
          <w:trHeight w:val="859"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6</w:t>
            </w:r>
          </w:p>
        </w:tc>
        <w:tc>
          <w:tcPr>
            <w:tcW w:w="46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资金</w:t>
            </w:r>
          </w:p>
          <w:p>
            <w:pPr>
              <w:spacing w:line="260" w:lineRule="exact"/>
              <w:jc w:val="center"/>
              <w:rPr>
                <w:rFonts w:ascii="宋体" w:hAnsi="宋体" w:cs="宋体"/>
                <w:sz w:val="21"/>
                <w:szCs w:val="21"/>
              </w:rPr>
            </w:pPr>
            <w:r>
              <w:rPr>
                <w:rFonts w:hint="eastAsia" w:ascii="宋体" w:hAnsi="宋体" w:cs="宋体"/>
                <w:sz w:val="21"/>
                <w:szCs w:val="21"/>
              </w:rPr>
              <w:t>使用</w:t>
            </w: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资金执行</w:t>
            </w:r>
          </w:p>
          <w:p>
            <w:pPr>
              <w:spacing w:line="260" w:lineRule="exact"/>
              <w:jc w:val="center"/>
              <w:rPr>
                <w:rFonts w:ascii="宋体" w:hAnsi="宋体" w:cs="宋体"/>
                <w:sz w:val="21"/>
                <w:szCs w:val="21"/>
              </w:rPr>
            </w:pPr>
            <w:r>
              <w:rPr>
                <w:rFonts w:hint="eastAsia" w:ascii="宋体" w:hAnsi="宋体" w:cs="宋体"/>
                <w:sz w:val="21"/>
                <w:szCs w:val="21"/>
              </w:rPr>
              <w:t>进度</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6</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截止20</w:t>
            </w:r>
            <w:r>
              <w:rPr>
                <w:rFonts w:hint="eastAsia" w:ascii="宋体" w:hAnsi="宋体" w:cs="宋体"/>
                <w:sz w:val="21"/>
                <w:szCs w:val="21"/>
                <w:lang w:val="en-US" w:eastAsia="zh-CN"/>
              </w:rPr>
              <w:t>23</w:t>
            </w:r>
            <w:r>
              <w:rPr>
                <w:rFonts w:hint="eastAsia" w:ascii="宋体" w:hAnsi="宋体" w:cs="宋体"/>
                <w:sz w:val="21"/>
                <w:szCs w:val="21"/>
              </w:rPr>
              <w:t>年12月底，资金执行进度达100%的得6分；90%（含）以上不足100%的，得4分；80%（含）以上不足90%的，得2分；低于80%的，不得分。</w:t>
            </w:r>
          </w:p>
        </w:tc>
      </w:tr>
      <w:tr>
        <w:tblPrEx>
          <w:tblCellMar>
            <w:top w:w="0" w:type="dxa"/>
            <w:left w:w="0" w:type="dxa"/>
            <w:bottom w:w="0" w:type="dxa"/>
            <w:right w:w="0" w:type="dxa"/>
          </w:tblCellMar>
        </w:tblPrEx>
        <w:trPr>
          <w:trHeight w:val="1096"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7</w:t>
            </w:r>
          </w:p>
        </w:tc>
        <w:tc>
          <w:tcPr>
            <w:tcW w:w="46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资金支出符合</w:t>
            </w:r>
          </w:p>
          <w:p>
            <w:pPr>
              <w:spacing w:line="260" w:lineRule="exact"/>
              <w:jc w:val="center"/>
              <w:rPr>
                <w:rFonts w:ascii="宋体" w:hAnsi="宋体" w:cs="宋体"/>
                <w:sz w:val="21"/>
                <w:szCs w:val="21"/>
              </w:rPr>
            </w:pPr>
            <w:r>
              <w:rPr>
                <w:rFonts w:hint="eastAsia" w:ascii="宋体" w:hAnsi="宋体" w:cs="宋体"/>
                <w:sz w:val="21"/>
                <w:szCs w:val="21"/>
              </w:rPr>
              <w:t>相关规定</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8</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财务资料完整、会计核算规范、资金支出均符合规定要求的，得8分。会计核算不规范的，每发现一个问题扣2分；如存在虚列或套取、截留、挤占、挪用资金行为，或擅自扩大资金支出范围的，不得分。</w:t>
            </w:r>
          </w:p>
        </w:tc>
      </w:tr>
      <w:tr>
        <w:tblPrEx>
          <w:tblCellMar>
            <w:top w:w="0" w:type="dxa"/>
            <w:left w:w="0" w:type="dxa"/>
            <w:bottom w:w="0" w:type="dxa"/>
            <w:right w:w="0" w:type="dxa"/>
          </w:tblCellMar>
        </w:tblPrEx>
        <w:trPr>
          <w:trHeight w:val="1082"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8</w:t>
            </w:r>
          </w:p>
        </w:tc>
        <w:tc>
          <w:tcPr>
            <w:tcW w:w="46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资金发放符合</w:t>
            </w:r>
          </w:p>
          <w:p>
            <w:pPr>
              <w:spacing w:line="260" w:lineRule="exact"/>
              <w:jc w:val="center"/>
              <w:rPr>
                <w:rFonts w:ascii="宋体" w:hAnsi="宋体" w:cs="宋体"/>
                <w:sz w:val="21"/>
                <w:szCs w:val="21"/>
              </w:rPr>
            </w:pPr>
            <w:r>
              <w:rPr>
                <w:rFonts w:hint="eastAsia" w:ascii="宋体" w:hAnsi="宋体" w:cs="宋体"/>
                <w:sz w:val="21"/>
                <w:szCs w:val="21"/>
              </w:rPr>
              <w:t>相关规定</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8</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细化了资金发放流程，并按地方规定及时合理发放相关资金的，得4分，否则不得分；资金发放对象及内容在县级政府门户网站或有关部门（或乡村）宣告栏内公示的，得4分，否则不得分。</w:t>
            </w:r>
          </w:p>
        </w:tc>
      </w:tr>
      <w:tr>
        <w:tblPrEx>
          <w:tblCellMar>
            <w:top w:w="0" w:type="dxa"/>
            <w:left w:w="0" w:type="dxa"/>
            <w:bottom w:w="0" w:type="dxa"/>
            <w:right w:w="0" w:type="dxa"/>
          </w:tblCellMar>
        </w:tblPrEx>
        <w:trPr>
          <w:trHeight w:val="984"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9</w:t>
            </w:r>
          </w:p>
        </w:tc>
        <w:tc>
          <w:tcPr>
            <w:tcW w:w="46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档案</w:t>
            </w:r>
          </w:p>
          <w:p>
            <w:pPr>
              <w:spacing w:line="260" w:lineRule="exact"/>
              <w:jc w:val="center"/>
              <w:rPr>
                <w:rFonts w:ascii="宋体" w:hAnsi="宋体" w:cs="宋体"/>
                <w:sz w:val="21"/>
                <w:szCs w:val="21"/>
              </w:rPr>
            </w:pPr>
            <w:r>
              <w:rPr>
                <w:rFonts w:hint="eastAsia" w:ascii="宋体" w:hAnsi="宋体" w:cs="宋体"/>
                <w:sz w:val="21"/>
                <w:szCs w:val="21"/>
              </w:rPr>
              <w:t>资料</w:t>
            </w: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工作档案以及</w:t>
            </w:r>
          </w:p>
          <w:p>
            <w:pPr>
              <w:spacing w:line="260" w:lineRule="exact"/>
              <w:jc w:val="center"/>
              <w:rPr>
                <w:rFonts w:ascii="宋体" w:hAnsi="宋体" w:cs="宋体"/>
                <w:sz w:val="21"/>
                <w:szCs w:val="21"/>
              </w:rPr>
            </w:pPr>
            <w:r>
              <w:rPr>
                <w:rFonts w:hint="eastAsia" w:ascii="宋体" w:hAnsi="宋体" w:cs="宋体"/>
                <w:sz w:val="21"/>
                <w:szCs w:val="21"/>
              </w:rPr>
              <w:t>相关文件</w:t>
            </w:r>
          </w:p>
          <w:p>
            <w:pPr>
              <w:spacing w:line="260" w:lineRule="exact"/>
              <w:jc w:val="center"/>
              <w:rPr>
                <w:rFonts w:ascii="宋体" w:hAnsi="宋体" w:cs="宋体"/>
                <w:sz w:val="21"/>
                <w:szCs w:val="21"/>
              </w:rPr>
            </w:pPr>
            <w:r>
              <w:rPr>
                <w:rFonts w:hint="eastAsia" w:ascii="宋体" w:hAnsi="宋体" w:cs="宋体"/>
                <w:sz w:val="21"/>
                <w:szCs w:val="21"/>
              </w:rPr>
              <w:t>资料齐全</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3</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档案清晰易查的，包括实施方案、资金到账、资金拨付凭证、检查验收、工作进展和工作简报等，得3分；每缺一项扣0.5分，扣完为止。</w:t>
            </w:r>
          </w:p>
        </w:tc>
      </w:tr>
      <w:tr>
        <w:tblPrEx>
          <w:tblCellMar>
            <w:top w:w="0" w:type="dxa"/>
            <w:left w:w="0" w:type="dxa"/>
            <w:bottom w:w="0" w:type="dxa"/>
            <w:right w:w="0" w:type="dxa"/>
          </w:tblCellMar>
        </w:tblPrEx>
        <w:trPr>
          <w:trHeight w:val="716"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10</w:t>
            </w:r>
          </w:p>
        </w:tc>
        <w:tc>
          <w:tcPr>
            <w:tcW w:w="466" w:type="pct"/>
            <w:vMerge w:val="restart"/>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实</w:t>
            </w:r>
          </w:p>
          <w:p>
            <w:pPr>
              <w:spacing w:line="260" w:lineRule="exact"/>
              <w:jc w:val="center"/>
              <w:rPr>
                <w:rFonts w:ascii="宋体" w:hAnsi="宋体" w:cs="宋体"/>
                <w:sz w:val="21"/>
                <w:szCs w:val="21"/>
              </w:rPr>
            </w:pPr>
            <w:r>
              <w:rPr>
                <w:rFonts w:hint="eastAsia" w:ascii="宋体" w:hAnsi="宋体" w:cs="宋体"/>
                <w:sz w:val="21"/>
                <w:szCs w:val="21"/>
              </w:rPr>
              <w:t>施</w:t>
            </w:r>
          </w:p>
          <w:p>
            <w:pPr>
              <w:spacing w:line="260" w:lineRule="exact"/>
              <w:jc w:val="center"/>
              <w:rPr>
                <w:rFonts w:ascii="宋体" w:hAnsi="宋体" w:cs="宋体"/>
                <w:sz w:val="21"/>
                <w:szCs w:val="21"/>
              </w:rPr>
            </w:pPr>
            <w:r>
              <w:rPr>
                <w:rFonts w:hint="eastAsia" w:ascii="宋体" w:hAnsi="宋体" w:cs="宋体"/>
                <w:sz w:val="21"/>
                <w:szCs w:val="21"/>
              </w:rPr>
              <w:t>效</w:t>
            </w:r>
          </w:p>
          <w:p>
            <w:pPr>
              <w:spacing w:line="260" w:lineRule="exact"/>
              <w:jc w:val="center"/>
              <w:rPr>
                <w:rFonts w:ascii="宋体" w:hAnsi="宋体" w:cs="宋体"/>
                <w:sz w:val="21"/>
                <w:szCs w:val="21"/>
              </w:rPr>
            </w:pPr>
            <w:r>
              <w:rPr>
                <w:rFonts w:hint="eastAsia" w:ascii="宋体" w:hAnsi="宋体" w:cs="宋体"/>
                <w:sz w:val="21"/>
                <w:szCs w:val="21"/>
              </w:rPr>
              <w:t>果</w:t>
            </w:r>
          </w:p>
          <w:p>
            <w:pPr>
              <w:spacing w:line="260" w:lineRule="exact"/>
              <w:jc w:val="center"/>
              <w:rPr>
                <w:rFonts w:ascii="宋体" w:hAnsi="宋体" w:cs="宋体"/>
                <w:sz w:val="21"/>
                <w:szCs w:val="21"/>
              </w:rPr>
            </w:pPr>
            <w:r>
              <w:rPr>
                <w:rFonts w:hint="eastAsia" w:ascii="宋体" w:hAnsi="宋体" w:cs="宋体"/>
                <w:sz w:val="21"/>
                <w:szCs w:val="21"/>
              </w:rPr>
              <w:t>(50分)</w:t>
            </w:r>
          </w:p>
        </w:tc>
        <w:tc>
          <w:tcPr>
            <w:tcW w:w="317" w:type="pct"/>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产出效益</w:t>
            </w:r>
          </w:p>
        </w:tc>
        <w:tc>
          <w:tcPr>
            <w:tcW w:w="73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秸秆综合利用率有效提升</w:t>
            </w:r>
          </w:p>
        </w:tc>
        <w:tc>
          <w:tcPr>
            <w:tcW w:w="264" w:type="pct"/>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color w:val="000000"/>
                <w:sz w:val="21"/>
                <w:szCs w:val="21"/>
              </w:rPr>
            </w:pPr>
            <w:r>
              <w:rPr>
                <w:rFonts w:hint="eastAsia" w:ascii="宋体" w:hAnsi="宋体" w:cs="宋体"/>
                <w:color w:val="000000"/>
                <w:sz w:val="21"/>
                <w:szCs w:val="21"/>
              </w:rPr>
              <w:t>10</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left"/>
              <w:rPr>
                <w:rFonts w:ascii="宋体" w:hAnsi="宋体" w:cs="宋体"/>
                <w:sz w:val="21"/>
                <w:szCs w:val="21"/>
              </w:rPr>
            </w:pPr>
            <w:r>
              <w:rPr>
                <w:rFonts w:hint="eastAsia" w:ascii="宋体" w:hAnsi="宋体" w:cs="宋体"/>
                <w:sz w:val="21"/>
                <w:szCs w:val="21"/>
              </w:rPr>
              <w:t>秸秆综合利用率达到90%以上</w:t>
            </w:r>
            <w:r>
              <w:rPr>
                <w:rFonts w:hint="eastAsia" w:ascii="宋体" w:hAnsi="宋体" w:cs="宋体"/>
                <w:sz w:val="21"/>
                <w:szCs w:val="21"/>
                <w:lang w:eastAsia="zh-CN"/>
              </w:rPr>
              <w:t>或比上年度提高5个百分点得</w:t>
            </w:r>
            <w:r>
              <w:rPr>
                <w:rFonts w:hint="eastAsia" w:ascii="宋体" w:hAnsi="宋体" w:cs="宋体"/>
                <w:sz w:val="21"/>
                <w:szCs w:val="21"/>
                <w:lang w:val="en-US" w:eastAsia="zh-CN"/>
              </w:rPr>
              <w:t>10分</w:t>
            </w:r>
            <w:r>
              <w:rPr>
                <w:rFonts w:hint="eastAsia" w:ascii="宋体" w:hAnsi="宋体" w:cs="宋体"/>
                <w:sz w:val="21"/>
                <w:szCs w:val="21"/>
              </w:rPr>
              <w:t>，否则不得分。</w:t>
            </w:r>
          </w:p>
        </w:tc>
      </w:tr>
      <w:tr>
        <w:tblPrEx>
          <w:tblCellMar>
            <w:top w:w="0" w:type="dxa"/>
            <w:left w:w="0" w:type="dxa"/>
            <w:bottom w:w="0" w:type="dxa"/>
            <w:right w:w="0" w:type="dxa"/>
          </w:tblCellMar>
        </w:tblPrEx>
        <w:trPr>
          <w:trHeight w:val="887"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11</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p>
        </w:tc>
        <w:tc>
          <w:tcPr>
            <w:tcW w:w="317"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p>
        </w:tc>
        <w:tc>
          <w:tcPr>
            <w:tcW w:w="73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建立有效的</w:t>
            </w:r>
          </w:p>
          <w:p>
            <w:pPr>
              <w:spacing w:line="260" w:lineRule="exact"/>
              <w:jc w:val="center"/>
              <w:rPr>
                <w:rFonts w:ascii="宋体" w:hAnsi="宋体" w:cs="宋体"/>
                <w:sz w:val="21"/>
                <w:szCs w:val="21"/>
              </w:rPr>
            </w:pPr>
            <w:r>
              <w:rPr>
                <w:rFonts w:hint="eastAsia" w:ascii="宋体" w:hAnsi="宋体" w:cs="宋体"/>
                <w:sz w:val="21"/>
                <w:szCs w:val="21"/>
              </w:rPr>
              <w:t>秸秆资源台账制度</w:t>
            </w:r>
          </w:p>
        </w:tc>
        <w:tc>
          <w:tcPr>
            <w:tcW w:w="264" w:type="pct"/>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6</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left"/>
              <w:rPr>
                <w:rFonts w:ascii="宋体" w:hAnsi="宋体" w:cs="宋体"/>
                <w:sz w:val="21"/>
                <w:szCs w:val="21"/>
              </w:rPr>
            </w:pPr>
            <w:r>
              <w:rPr>
                <w:rFonts w:hint="eastAsia" w:ascii="宋体" w:hAnsi="宋体" w:cs="宋体"/>
                <w:sz w:val="21"/>
                <w:szCs w:val="21"/>
              </w:rPr>
              <w:t>按照农业农村部有关要求建立年度台账报送机制，得</w:t>
            </w:r>
            <w:r>
              <w:rPr>
                <w:rFonts w:hint="eastAsia" w:ascii="宋体" w:hAnsi="宋体" w:cs="宋体"/>
                <w:sz w:val="21"/>
                <w:szCs w:val="21"/>
                <w:lang w:val="en-US" w:eastAsia="zh-CN"/>
              </w:rPr>
              <w:t>3</w:t>
            </w:r>
            <w:r>
              <w:rPr>
                <w:rFonts w:hint="eastAsia" w:ascii="宋体" w:hAnsi="宋体" w:cs="宋体"/>
                <w:sz w:val="21"/>
                <w:szCs w:val="21"/>
              </w:rPr>
              <w:t>分，未报送上年度台账数据的本项不得分；台账数据真实准确，得</w:t>
            </w:r>
            <w:r>
              <w:rPr>
                <w:rFonts w:hint="eastAsia" w:ascii="宋体" w:hAnsi="宋体" w:cs="宋体"/>
                <w:sz w:val="21"/>
                <w:szCs w:val="21"/>
                <w:lang w:val="en-US" w:eastAsia="zh-CN"/>
              </w:rPr>
              <w:t>3</w:t>
            </w:r>
            <w:r>
              <w:rPr>
                <w:rFonts w:hint="eastAsia" w:ascii="宋体" w:hAnsi="宋体" w:cs="宋体"/>
                <w:sz w:val="21"/>
                <w:szCs w:val="21"/>
              </w:rPr>
              <w:t>分，数据发现数据严重造假的本项不得分。</w:t>
            </w:r>
          </w:p>
        </w:tc>
      </w:tr>
      <w:tr>
        <w:tblPrEx>
          <w:tblCellMar>
            <w:top w:w="0" w:type="dxa"/>
            <w:left w:w="0" w:type="dxa"/>
            <w:bottom w:w="0" w:type="dxa"/>
            <w:right w:w="0" w:type="dxa"/>
          </w:tblCellMar>
        </w:tblPrEx>
        <w:trPr>
          <w:trHeight w:val="946"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12</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p>
        </w:tc>
        <w:tc>
          <w:tcPr>
            <w:tcW w:w="31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社会效益</w:t>
            </w: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建立和完善</w:t>
            </w:r>
          </w:p>
          <w:p>
            <w:pPr>
              <w:spacing w:line="260" w:lineRule="exact"/>
              <w:jc w:val="center"/>
              <w:rPr>
                <w:rFonts w:ascii="宋体" w:hAnsi="宋体" w:cs="宋体"/>
                <w:sz w:val="21"/>
                <w:szCs w:val="21"/>
              </w:rPr>
            </w:pPr>
            <w:r>
              <w:rPr>
                <w:rFonts w:hint="eastAsia" w:ascii="宋体" w:hAnsi="宋体" w:cs="宋体"/>
                <w:sz w:val="21"/>
                <w:szCs w:val="21"/>
              </w:rPr>
              <w:t>秸秆综合利用产业化体系</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4</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left"/>
              <w:rPr>
                <w:rFonts w:ascii="宋体" w:hAnsi="宋体" w:cs="宋体"/>
                <w:sz w:val="21"/>
                <w:szCs w:val="21"/>
              </w:rPr>
            </w:pPr>
            <w:r>
              <w:rPr>
                <w:rFonts w:hint="eastAsia" w:ascii="宋体" w:hAnsi="宋体" w:cs="宋体"/>
                <w:sz w:val="21"/>
                <w:szCs w:val="21"/>
              </w:rPr>
              <w:t>培育有代表性和经营实力的秸秆产业化利用龙头企业，支持建立秸秆还田、离田利用和收储运等社会化服务组织，每一个得1分，满分</w:t>
            </w:r>
            <w:r>
              <w:rPr>
                <w:rFonts w:hint="eastAsia" w:ascii="宋体" w:hAnsi="宋体" w:cs="宋体"/>
                <w:sz w:val="21"/>
                <w:szCs w:val="21"/>
                <w:lang w:val="en-US" w:eastAsia="zh-CN"/>
              </w:rPr>
              <w:t>4</w:t>
            </w:r>
            <w:r>
              <w:rPr>
                <w:rFonts w:hint="eastAsia" w:ascii="宋体" w:hAnsi="宋体" w:cs="宋体"/>
                <w:sz w:val="21"/>
                <w:szCs w:val="21"/>
              </w:rPr>
              <w:t>分。</w:t>
            </w:r>
          </w:p>
        </w:tc>
      </w:tr>
      <w:tr>
        <w:tblPrEx>
          <w:tblCellMar>
            <w:top w:w="0" w:type="dxa"/>
            <w:left w:w="0" w:type="dxa"/>
            <w:bottom w:w="0" w:type="dxa"/>
            <w:right w:w="0" w:type="dxa"/>
          </w:tblCellMar>
        </w:tblPrEx>
        <w:trPr>
          <w:trHeight w:val="919"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13</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建立长效机制</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4</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建立秸秆综合利用长效机制，梳理1套优惠政策清单的，得4分，未梳理不得分；梳理总结不到位，酌情扣分，扣完为止。</w:t>
            </w:r>
          </w:p>
        </w:tc>
      </w:tr>
      <w:tr>
        <w:tblPrEx>
          <w:tblCellMar>
            <w:top w:w="0" w:type="dxa"/>
            <w:left w:w="0" w:type="dxa"/>
            <w:bottom w:w="0" w:type="dxa"/>
            <w:right w:w="0" w:type="dxa"/>
          </w:tblCellMar>
        </w:tblPrEx>
        <w:trPr>
          <w:trHeight w:val="632"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14</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建立展示基地</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4</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hint="default" w:ascii="宋体" w:hAnsi="宋体" w:eastAsia="宋体" w:cs="宋体"/>
                <w:sz w:val="21"/>
                <w:szCs w:val="21"/>
                <w:lang w:val="en-US" w:eastAsia="zh-CN"/>
              </w:rPr>
            </w:pPr>
            <w:r>
              <w:rPr>
                <w:rFonts w:hint="eastAsia" w:ascii="宋体" w:hAnsi="宋体" w:cs="宋体"/>
                <w:sz w:val="21"/>
                <w:szCs w:val="21"/>
                <w:lang w:eastAsia="zh-CN"/>
              </w:rPr>
              <w:t>按照文件标准建立展示基地的得</w:t>
            </w:r>
            <w:r>
              <w:rPr>
                <w:rFonts w:hint="eastAsia" w:ascii="宋体" w:hAnsi="宋体" w:cs="宋体"/>
                <w:sz w:val="21"/>
                <w:szCs w:val="21"/>
                <w:lang w:val="en-US" w:eastAsia="zh-CN"/>
              </w:rPr>
              <w:t>4分，未建立的扣10分。</w:t>
            </w:r>
          </w:p>
        </w:tc>
      </w:tr>
      <w:tr>
        <w:tblPrEx>
          <w:tblCellMar>
            <w:top w:w="0" w:type="dxa"/>
            <w:left w:w="0" w:type="dxa"/>
            <w:bottom w:w="0" w:type="dxa"/>
            <w:right w:w="0" w:type="dxa"/>
          </w:tblCellMar>
        </w:tblPrEx>
        <w:trPr>
          <w:trHeight w:val="956"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15</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hint="eastAsia" w:ascii="宋体" w:hAnsi="宋体" w:cs="宋体"/>
                <w:sz w:val="21"/>
                <w:szCs w:val="21"/>
                <w:lang w:eastAsia="zh-CN"/>
              </w:rPr>
            </w:pPr>
            <w:r>
              <w:rPr>
                <w:rFonts w:hint="eastAsia" w:ascii="宋体" w:hAnsi="宋体" w:cs="宋体"/>
                <w:sz w:val="21"/>
                <w:szCs w:val="21"/>
                <w:lang w:eastAsia="zh-CN"/>
              </w:rPr>
              <w:t>开展监测与</w:t>
            </w:r>
          </w:p>
          <w:p>
            <w:pPr>
              <w:spacing w:line="26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评价</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5</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hint="default" w:ascii="宋体" w:hAnsi="宋体" w:eastAsia="宋体" w:cs="宋体"/>
                <w:sz w:val="21"/>
                <w:szCs w:val="21"/>
                <w:lang w:val="en-US" w:eastAsia="zh-CN"/>
              </w:rPr>
            </w:pPr>
            <w:r>
              <w:rPr>
                <w:rFonts w:hint="eastAsia" w:ascii="宋体" w:hAnsi="宋体" w:cs="宋体"/>
                <w:sz w:val="21"/>
                <w:szCs w:val="21"/>
                <w:lang w:eastAsia="zh-CN"/>
              </w:rPr>
              <w:t>对区域主要农作物草谷比、可收集系数进行调查测算的得</w:t>
            </w:r>
            <w:r>
              <w:rPr>
                <w:rFonts w:hint="eastAsia" w:ascii="宋体" w:hAnsi="宋体" w:cs="宋体"/>
                <w:sz w:val="21"/>
                <w:szCs w:val="21"/>
                <w:lang w:val="en-US" w:eastAsia="zh-CN"/>
              </w:rPr>
              <w:t>2分，有秸秆还田生态效应监测任务的按文件要求建立还田效应监测点位的得3分，未完任务的得0分。</w:t>
            </w:r>
          </w:p>
        </w:tc>
      </w:tr>
      <w:tr>
        <w:tblPrEx>
          <w:tblCellMar>
            <w:top w:w="0" w:type="dxa"/>
            <w:left w:w="0" w:type="dxa"/>
            <w:bottom w:w="0" w:type="dxa"/>
            <w:right w:w="0" w:type="dxa"/>
          </w:tblCellMar>
        </w:tblPrEx>
        <w:trPr>
          <w:trHeight w:val="772"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16</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总结县域秸秆</w:t>
            </w:r>
          </w:p>
          <w:p>
            <w:pPr>
              <w:spacing w:line="260" w:lineRule="exact"/>
              <w:jc w:val="center"/>
              <w:rPr>
                <w:rFonts w:ascii="宋体" w:hAnsi="宋体" w:cs="宋体"/>
                <w:sz w:val="21"/>
                <w:szCs w:val="21"/>
              </w:rPr>
            </w:pPr>
            <w:r>
              <w:rPr>
                <w:rFonts w:hint="eastAsia" w:ascii="宋体" w:hAnsi="宋体" w:cs="宋体"/>
                <w:sz w:val="21"/>
                <w:szCs w:val="21"/>
              </w:rPr>
              <w:t>综合利用技术模式</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3</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sz w:val="21"/>
                <w:szCs w:val="21"/>
              </w:rPr>
              <w:t>总结提炼一套本县域的秸秆综合利用技术模式的，得</w:t>
            </w:r>
            <w:r>
              <w:rPr>
                <w:rFonts w:hint="eastAsia" w:ascii="宋体" w:hAnsi="宋体" w:cs="宋体"/>
                <w:sz w:val="21"/>
                <w:szCs w:val="21"/>
                <w:lang w:val="en-US" w:eastAsia="zh-CN"/>
              </w:rPr>
              <w:t>3</w:t>
            </w:r>
            <w:r>
              <w:rPr>
                <w:rFonts w:hint="eastAsia" w:ascii="宋体" w:hAnsi="宋体" w:cs="宋体"/>
                <w:sz w:val="21"/>
                <w:szCs w:val="21"/>
              </w:rPr>
              <w:t>分，未总结不得分；总结不到位，酌情扣分，扣完为止。</w:t>
            </w:r>
          </w:p>
        </w:tc>
      </w:tr>
      <w:tr>
        <w:tblPrEx>
          <w:tblCellMar>
            <w:top w:w="0" w:type="dxa"/>
            <w:left w:w="0" w:type="dxa"/>
            <w:bottom w:w="0" w:type="dxa"/>
            <w:right w:w="0" w:type="dxa"/>
          </w:tblCellMar>
        </w:tblPrEx>
        <w:trPr>
          <w:trHeight w:val="1426"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17</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新闻宣传</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4</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r>
              <w:rPr>
                <w:rFonts w:hint="eastAsia" w:ascii="宋体" w:hAnsi="宋体" w:cs="宋体"/>
                <w:color w:val="000000"/>
                <w:kern w:val="0"/>
                <w:sz w:val="21"/>
                <w:szCs w:val="21"/>
              </w:rPr>
              <w:t>积极开展秸秆综合利用和禁止露天焚烧宣传，开展1次省级以上媒体宣传，得2分，</w:t>
            </w:r>
            <w:r>
              <w:rPr>
                <w:rFonts w:hint="eastAsia" w:ascii="宋体" w:hAnsi="宋体" w:cs="宋体"/>
                <w:kern w:val="0"/>
                <w:sz w:val="21"/>
                <w:szCs w:val="21"/>
              </w:rPr>
              <w:t>开展1次市级以上媒体宣传，得</w:t>
            </w:r>
            <w:r>
              <w:rPr>
                <w:rFonts w:ascii="宋体" w:hAnsi="宋体" w:cs="宋体"/>
                <w:kern w:val="0"/>
                <w:sz w:val="21"/>
                <w:szCs w:val="21"/>
              </w:rPr>
              <w:t>1</w:t>
            </w:r>
            <w:r>
              <w:rPr>
                <w:rFonts w:hint="eastAsia" w:ascii="宋体" w:hAnsi="宋体" w:cs="宋体"/>
                <w:kern w:val="0"/>
                <w:sz w:val="21"/>
                <w:szCs w:val="21"/>
              </w:rPr>
              <w:t>分，</w:t>
            </w:r>
            <w:r>
              <w:rPr>
                <w:rFonts w:hint="eastAsia" w:ascii="宋体" w:hAnsi="宋体" w:cs="宋体"/>
                <w:color w:val="000000"/>
                <w:kern w:val="0"/>
                <w:sz w:val="21"/>
                <w:szCs w:val="21"/>
              </w:rPr>
              <w:t>未见报道的不得分；根据要求向省农业农村厅按时报送工作进展、工作简报、自评材料、总结材料等的，得2分，未按时报送的不得分。</w:t>
            </w:r>
          </w:p>
        </w:tc>
      </w:tr>
      <w:tr>
        <w:tblPrEx>
          <w:tblCellMar>
            <w:top w:w="0" w:type="dxa"/>
            <w:left w:w="0" w:type="dxa"/>
            <w:bottom w:w="0" w:type="dxa"/>
            <w:right w:w="0" w:type="dxa"/>
          </w:tblCellMar>
        </w:tblPrEx>
        <w:trPr>
          <w:trHeight w:val="1454"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18</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 w:val="21"/>
                <w:szCs w:val="21"/>
              </w:rPr>
            </w:pPr>
          </w:p>
        </w:tc>
        <w:tc>
          <w:tcPr>
            <w:tcW w:w="31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环境效益</w:t>
            </w: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未发生因秸秆</w:t>
            </w:r>
          </w:p>
          <w:p>
            <w:pPr>
              <w:spacing w:line="260" w:lineRule="exact"/>
              <w:jc w:val="center"/>
              <w:rPr>
                <w:rFonts w:ascii="宋体" w:hAnsi="宋体" w:cs="宋体"/>
                <w:sz w:val="21"/>
                <w:szCs w:val="21"/>
              </w:rPr>
            </w:pPr>
            <w:r>
              <w:rPr>
                <w:rFonts w:hint="eastAsia" w:ascii="宋体" w:hAnsi="宋体" w:cs="宋体"/>
                <w:sz w:val="21"/>
                <w:szCs w:val="21"/>
              </w:rPr>
              <w:t>焚烧、废弃引起的大气、</w:t>
            </w:r>
          </w:p>
          <w:p>
            <w:pPr>
              <w:spacing w:line="260" w:lineRule="exact"/>
              <w:jc w:val="center"/>
              <w:rPr>
                <w:rFonts w:ascii="宋体" w:hAnsi="宋体" w:cs="宋体"/>
                <w:sz w:val="21"/>
                <w:szCs w:val="21"/>
              </w:rPr>
            </w:pPr>
            <w:r>
              <w:rPr>
                <w:rFonts w:hint="eastAsia" w:ascii="宋体" w:hAnsi="宋体" w:cs="宋体"/>
                <w:sz w:val="21"/>
                <w:szCs w:val="21"/>
              </w:rPr>
              <w:t>水体污染或</w:t>
            </w:r>
          </w:p>
          <w:p>
            <w:pPr>
              <w:spacing w:line="260" w:lineRule="exact"/>
              <w:jc w:val="center"/>
              <w:rPr>
                <w:rFonts w:ascii="宋体" w:hAnsi="宋体" w:cs="宋体"/>
                <w:sz w:val="21"/>
                <w:szCs w:val="21"/>
              </w:rPr>
            </w:pPr>
            <w:r>
              <w:rPr>
                <w:rFonts w:hint="eastAsia" w:ascii="宋体" w:hAnsi="宋体" w:cs="宋体"/>
                <w:sz w:val="21"/>
                <w:szCs w:val="21"/>
              </w:rPr>
              <w:t>交通安全事故</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10</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left"/>
              <w:rPr>
                <w:rFonts w:ascii="宋体" w:hAnsi="宋体" w:cs="宋体"/>
                <w:sz w:val="21"/>
                <w:szCs w:val="21"/>
              </w:rPr>
            </w:pPr>
            <w:r>
              <w:rPr>
                <w:rFonts w:hint="eastAsia" w:ascii="宋体" w:hAnsi="宋体" w:cs="宋体"/>
                <w:sz w:val="21"/>
                <w:szCs w:val="21"/>
              </w:rPr>
              <w:t>未发生因秸秆焚烧、废弃引起的大气、水体污染的环境监测信息，得10分；每发生一起，扣3分，扣完为止。有省级及以上环保督察通报、约谈或省级及以上媒体曝光的重大环境影响问题，此项不得分。</w:t>
            </w:r>
          </w:p>
        </w:tc>
      </w:tr>
      <w:tr>
        <w:tblPrEx>
          <w:tblCellMar>
            <w:top w:w="0" w:type="dxa"/>
            <w:left w:w="0" w:type="dxa"/>
            <w:bottom w:w="0" w:type="dxa"/>
            <w:right w:w="0" w:type="dxa"/>
          </w:tblCellMar>
        </w:tblPrEx>
        <w:trPr>
          <w:trHeight w:val="1169"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19</w:t>
            </w:r>
          </w:p>
        </w:tc>
        <w:tc>
          <w:tcPr>
            <w:tcW w:w="466"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扣分项</w:t>
            </w:r>
          </w:p>
        </w:tc>
        <w:tc>
          <w:tcPr>
            <w:tcW w:w="31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sz w:val="21"/>
                <w:szCs w:val="21"/>
              </w:rPr>
              <w:t>违规违纪违法行为</w:t>
            </w: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color w:val="FF0000"/>
                <w:sz w:val="21"/>
                <w:szCs w:val="21"/>
              </w:rPr>
            </w:pPr>
            <w:r>
              <w:rPr>
                <w:rFonts w:hint="eastAsia" w:ascii="宋体" w:hAnsi="宋体" w:cs="宋体"/>
                <w:sz w:val="21"/>
                <w:szCs w:val="21"/>
              </w:rPr>
              <w:t>资金使用方面存在违规违纪违法行为</w:t>
            </w:r>
          </w:p>
        </w:tc>
        <w:tc>
          <w:tcPr>
            <w:tcW w:w="26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color w:val="FF0000"/>
                <w:sz w:val="21"/>
                <w:szCs w:val="21"/>
              </w:rPr>
            </w:pPr>
            <w:r>
              <w:rPr>
                <w:rFonts w:hint="eastAsia" w:ascii="宋体" w:hAnsi="宋体" w:cs="宋体"/>
                <w:color w:val="000000"/>
                <w:sz w:val="21"/>
                <w:szCs w:val="21"/>
              </w:rPr>
              <w:t>-20</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left"/>
              <w:rPr>
                <w:rFonts w:ascii="宋体" w:hAnsi="宋体" w:cs="宋体"/>
                <w:sz w:val="21"/>
                <w:szCs w:val="21"/>
              </w:rPr>
            </w:pPr>
            <w:r>
              <w:rPr>
                <w:rFonts w:hint="eastAsia" w:ascii="宋体" w:hAnsi="宋体" w:cs="宋体"/>
                <w:sz w:val="21"/>
                <w:szCs w:val="21"/>
              </w:rPr>
              <w:t>经各级监察、审计、财政监督等机构查实在资金使用方面存在违规违纪违法行为的，每发现一次扣20分，扣完为止。</w:t>
            </w:r>
          </w:p>
        </w:tc>
      </w:tr>
      <w:tr>
        <w:tblPrEx>
          <w:tblCellMar>
            <w:top w:w="0" w:type="dxa"/>
            <w:left w:w="0" w:type="dxa"/>
            <w:bottom w:w="0" w:type="dxa"/>
            <w:right w:w="0" w:type="dxa"/>
          </w:tblCellMar>
        </w:tblPrEx>
        <w:trPr>
          <w:trHeight w:val="715" w:hRule="atLeast"/>
          <w:jc w:val="center"/>
        </w:trPr>
        <w:tc>
          <w:tcPr>
            <w:tcW w:w="1801" w:type="pct"/>
            <w:gridSpan w:val="4"/>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b/>
                <w:sz w:val="21"/>
                <w:szCs w:val="21"/>
              </w:rPr>
              <w:t>合计</w:t>
            </w:r>
          </w:p>
        </w:tc>
        <w:tc>
          <w:tcPr>
            <w:tcW w:w="26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 w:val="21"/>
                <w:szCs w:val="21"/>
              </w:rPr>
            </w:pPr>
            <w:r>
              <w:rPr>
                <w:rFonts w:hint="eastAsia" w:ascii="宋体" w:hAnsi="宋体" w:cs="宋体"/>
                <w:b/>
                <w:sz w:val="21"/>
                <w:szCs w:val="21"/>
              </w:rPr>
              <w:t>100</w:t>
            </w:r>
          </w:p>
        </w:tc>
        <w:tc>
          <w:tcPr>
            <w:tcW w:w="2935"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rPr>
                <w:rFonts w:ascii="宋体" w:hAnsi="宋体" w:cs="宋体"/>
                <w:sz w:val="21"/>
                <w:szCs w:val="21"/>
              </w:rPr>
            </w:pPr>
          </w:p>
        </w:tc>
      </w:tr>
    </w:tbl>
    <w:p>
      <w:r>
        <w:br w:type="page"/>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公文小标宋">
    <w:altName w:val="宋体"/>
    <w:panose1 w:val="02000500000000000000"/>
    <w:charset w:val="00"/>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BB1C88"/>
    <w:rsid w:val="1244717C"/>
    <w:rsid w:val="F9BB1C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First Indent"/>
    <w:basedOn w:val="3"/>
    <w:next w:val="4"/>
    <w:qFormat/>
    <w:uiPriority w:val="0"/>
    <w:pPr>
      <w:widowControl/>
      <w:spacing w:after="0" w:line="276" w:lineRule="auto"/>
      <w:ind w:firstLine="420"/>
      <w:textAlignment w:val="baseline"/>
    </w:pPr>
    <w:rPr>
      <w:rFonts w:ascii="Times New Roman" w:hAnsi="Times New Roman"/>
    </w:rPr>
  </w:style>
  <w:style w:type="paragraph" w:styleId="3">
    <w:name w:val="Body Text"/>
    <w:basedOn w:val="1"/>
    <w:next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styleId="4">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1765</Words>
  <Characters>1822</Characters>
  <Lines>0</Lines>
  <Paragraphs>0</Paragraphs>
  <TotalTime>0</TotalTime>
  <ScaleCrop>false</ScaleCrop>
  <LinksUpToDate>false</LinksUpToDate>
  <CharactersWithSpaces>1822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2023-06-16T10:26:00Z</dcterms:created>
  <dc:creator>baixin</dc:creator>
  <cp:lastModifiedBy>WPS_1656574716</cp:lastModifiedBy>
  <dcterms:modified xsi:type="dcterms:W3CDTF">2023-06-16T02:54:46Z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F0542A3A5FCD4A0D9B8BF94E8E9C7119_13</vt:lpwstr>
  </property>
</Properties>
</file>