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2021-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农机购置与应用补贴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机具补贴额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一览表（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二次调整）</w:t>
      </w:r>
    </w:p>
    <w:tbl>
      <w:tblPr>
        <w:tblStyle w:val="3"/>
        <w:tblW w:w="87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10"/>
        <w:gridCol w:w="906"/>
        <w:gridCol w:w="767"/>
        <w:gridCol w:w="1664"/>
        <w:gridCol w:w="2425"/>
        <w:gridCol w:w="820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大类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小类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品目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中央财政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补贴额（元）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投饲机械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投（饲）饵机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1.5kW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风送式投（饲）饵机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送料风机≥1.5kW，每小时投饲量≥300kg，料箱容量≥300kg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新增品目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水质调控设备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增氧机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叶轮(水车、涌浪)式增氧机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增氧结构型式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叶轮式、水车式、涌浪式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配套电机功率≥1.5kW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新增档次</w:t>
            </w:r>
          </w:p>
        </w:tc>
      </w:tr>
    </w:tbl>
    <w:p>
      <w:pPr>
        <w:rPr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方正黑体_GBK" w:hAnsi="方正黑体_GBK" w:eastAsia="方正黑体_GBK" w:cs="方正黑体_GBK"/>
          <w:bCs/>
          <w:spacing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方正黑体_GBK" w:hAnsi="方正黑体_GBK" w:eastAsia="方正黑体_GBK" w:cs="方正黑体_GBK"/>
          <w:bCs/>
          <w:spacing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方正黑体_GBK" w:hAnsi="方正黑体_GBK" w:eastAsia="方正黑体_GBK" w:cs="方正黑体_GBK"/>
          <w:bCs/>
          <w:spacing w:val="0"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left"/>
        <w:textAlignment w:val="auto"/>
        <w:rPr>
          <w:rFonts w:hint="default" w:ascii="方正黑体_GBK" w:hAnsi="方正黑体_GBK" w:eastAsia="方正黑体_GBK" w:cs="方正黑体_GBK"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省级财政资金农机购置与应用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补贴机具补贴额一览表</w:t>
      </w:r>
    </w:p>
    <w:tbl>
      <w:tblPr>
        <w:tblStyle w:val="3"/>
        <w:tblpPr w:leftFromText="180" w:rightFromText="180" w:vertAnchor="text" w:horzAnchor="page" w:tblpX="1486" w:tblpY="83"/>
        <w:tblOverlap w:val="never"/>
        <w:tblW w:w="94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835"/>
        <w:gridCol w:w="652"/>
        <w:gridCol w:w="767"/>
        <w:gridCol w:w="1056"/>
        <w:gridCol w:w="4042"/>
        <w:gridCol w:w="850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大类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小类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品目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省级财政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补贴额（元）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畜禽、水产品初加工机械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水产品初加工机械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鱼类宰杀机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分体式鳝鳅宰杀机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功能：剖肚或剖背；通道数；1个；抓取与剖切形式：对辊单刀片；料桶形式：挂接式；生产率：黄鳝≥10条/min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泥鳅≥20条/min；机架、外壳材质：不锈钢；电机防护等级：IP44以上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专项鉴定产品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畜禽、水产品初加工机械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水产品初加工机械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鱼类宰杀机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整体式鳝鳅宰杀机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功能：剖肚或剖背；通道数；1个；抓取与剖切形式：对辊单刀片；料桶形式：整体式；生产率：黄鳝≥10条/min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泥鳅≥20条/min；机架、外壳材质：不锈钢；电机防护等级：IP44以上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专项鉴定产品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茶叶初加工机械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揉筒直径50-60cm，揉筒4-6个揉捻机组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桶排列型式：并排式或单列式；茶叶上下料水平输送装置或分料装置；配套动力总功率≥6kW；4个≤揉桶个数≤6个，50cm≤揉桶直径＜60cm；揉桶高度≥40cm；揉捻结构型式：盘式；传动型式：皮带传达+齿轮减速箱传动；控制方式：程序控制或人工控制；棱骨材质：不锈钢或铜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专项鉴定产品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茶叶初加工机械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揉筒直径60cm及以上，揉筒4-6个揉捻机组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揉桶排列型式：并排式或单列式； 茶叶上下料水平输送装置或分料装置；配套动力总功率≥6kW；4个≤揉桶个数≤6个，揉桶直径≥60cm；揉桶高度≥45cm；揉捻结构型式：盘式；传动型式：皮带传达+齿轮减速箱传动；控制方式：程序控制或人工控制；棱骨材质：不锈钢或铜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专项鉴定产品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茶叶初加工机械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揉筒直径50-60cm，揉筒6个以上揉捻机组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桶排列型式：并排式或单列式；茶叶上下料水平输送装置或分料装置；配套动力总功率≥16kW；揉桶个数＞6个，50cm≤揉桶直径＜60cm；揉桶高度≥40cm；揉捻结构型式：盘式；传动型式：皮带传达+齿轮减速箱传动；控制方式：程序控制或人工控制；棱骨材质：不锈钢或铜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专项鉴定产品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茶叶初加工机械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揉筒直径60cm及以上，揉筒6个以上揉捻机组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揉桶排列型式：并排式或单列式；茶叶上下料水平输送装置或分料装置；配套动力总功率≥16kW；揉桶个数＞6个，揉桶直径≥60cm；揉桶高度≥45cm；揉捻结构型式：盘式；传动型式：皮带传达+齿轮减速箱传动；控制方式：程序控制或人工控制；棱骨材质：不锈钢或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专项鉴定产品</w:t>
            </w:r>
          </w:p>
        </w:tc>
      </w:tr>
    </w:tbl>
    <w:p/>
    <w:sectPr>
      <w:pgSz w:w="11906" w:h="16838"/>
      <w:pgMar w:top="1440" w:right="1576" w:bottom="1440" w:left="1576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2DB6AC3"/>
    <w:rsid w:val="2F6F0A77"/>
    <w:rsid w:val="2F7FFE56"/>
    <w:rsid w:val="3BFF24AD"/>
    <w:rsid w:val="3DEE3E66"/>
    <w:rsid w:val="3EDFBA1B"/>
    <w:rsid w:val="3F7E7E40"/>
    <w:rsid w:val="433F6D07"/>
    <w:rsid w:val="673D3381"/>
    <w:rsid w:val="773EA597"/>
    <w:rsid w:val="7DBB7726"/>
    <w:rsid w:val="7EFFC272"/>
    <w:rsid w:val="7F5FCA16"/>
    <w:rsid w:val="7F6FD315"/>
    <w:rsid w:val="7FAE2AC6"/>
    <w:rsid w:val="B95E692D"/>
    <w:rsid w:val="BEFFEC8C"/>
    <w:rsid w:val="BF7B17D2"/>
    <w:rsid w:val="C2DB6AC3"/>
    <w:rsid w:val="C6F9DE16"/>
    <w:rsid w:val="CBFB97D9"/>
    <w:rsid w:val="DBFAA661"/>
    <w:rsid w:val="DC7FB47C"/>
    <w:rsid w:val="F69F040D"/>
    <w:rsid w:val="F6E7DC52"/>
    <w:rsid w:val="FBBEE12C"/>
    <w:rsid w:val="FD3FE35E"/>
    <w:rsid w:val="FEC5E792"/>
    <w:rsid w:val="FFDD9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1141</Words>
  <Characters>1285</Characters>
  <Lines>0</Lines>
  <Paragraphs>0</Paragraphs>
  <TotalTime>7.66666666666667</TotalTime>
  <ScaleCrop>false</ScaleCrop>
  <LinksUpToDate>false</LinksUpToDate>
  <CharactersWithSpaces>1287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2023-07-07T11:09:00Z</dcterms:created>
  <dc:creator>pc123</dc:creator>
  <cp:lastModifiedBy>WPS_1656574716</cp:lastModifiedBy>
  <cp:lastPrinted>2023-07-14T09:36:59Z</cp:lastPrinted>
  <dcterms:modified xsi:type="dcterms:W3CDTF">2023-07-14T09:52:57Z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42B500D771574F0A9FC5BBB2CF3204E9_13</vt:lpwstr>
  </property>
</Properties>
</file>