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江西省部分农机购置与应用补贴机具补贴额调整一览表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928"/>
        <w:gridCol w:w="2835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92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档次名称</w:t>
            </w:r>
          </w:p>
        </w:tc>
        <w:tc>
          <w:tcPr>
            <w:tcW w:w="283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基本配置和参数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中央财政最高补贴额（元）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调整前</w:t>
            </w:r>
          </w:p>
        </w:tc>
        <w:tc>
          <w:tcPr>
            <w:tcW w:w="1701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修剪防护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管理机械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农用升降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作业平台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自走式果园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作业平台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剪叉式或液压导轨式升降机构，专用底盘，举升负载量≥150kg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种子播前处理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和育苗机械设备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育秧（苗）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播种设备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生产率500（盘/h）及以上秧盘播种成套设备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生产率≥500(盘/h)；含铺底土、播种、覆土功能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汽油动力6—7行四轮乘坐式水稻插秧机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四轮乘坐式；6、7行，汽油动力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汽油动力8行及以上四轮乘坐式水稻插秧机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四轮乘坐式；8行及以上，汽油动力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34070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FCD54"/>
    <w:rsid w:val="64AA14EC"/>
    <w:rsid w:val="EEEFCD54"/>
    <w:rsid w:val="FB6F4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2 字符"/>
    <w:link w:val="2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327</Characters>
  <Lines>0</Lines>
  <Paragraphs>0</Paragraphs>
  <TotalTime>0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2024-07-08T10:14:00Z</dcterms:created>
  <dc:creator>test</dc:creator>
  <cp:lastModifiedBy>WPS_1656574716</cp:lastModifiedBy>
  <dcterms:modified xsi:type="dcterms:W3CDTF">2024-07-08T10:23:24Z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5054E74ABF904A58878FD1190E5ACFC2_13</vt:lpwstr>
  </property>
</Properties>
</file>