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Times New Roman" w:hAnsi="Times New Roman"/>
        </w:rPr>
      </w:pPr>
    </w:p>
    <w:p>
      <w:pPr>
        <w:pStyle w:val="2"/>
        <w:pageBreakBefore w:val="0"/>
        <w:widowControl w:val="0"/>
        <w:kinsoku/>
        <w:wordWrap/>
        <w:overflowPunct/>
        <w:topLinePunct w:val="0"/>
        <w:autoSpaceDE/>
        <w:autoSpaceDN/>
        <w:bidi w:val="0"/>
        <w:adjustRightInd/>
        <w:snapToGrid/>
        <w:spacing w:line="560" w:lineRule="exact"/>
        <w:rPr>
          <w:rFonts w:hint="eastAsia"/>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lang w:val="en-US" w:eastAsia="zh-CN"/>
        </w:rPr>
      </w:pPr>
      <w:r>
        <w:rPr>
          <w:rFonts w:hint="eastAsia" w:ascii="Times New Roman" w:hAnsi="Times New Roman" w:eastAsia="方正小标宋简体" w:cs="方正小标宋简体"/>
          <w:spacing w:val="0"/>
          <w:sz w:val="44"/>
          <w:szCs w:val="44"/>
          <w:lang w:eastAsia="zh-CN"/>
        </w:rPr>
        <w:t>省农业农村厅办公室关于印发贵州省</w:t>
      </w:r>
      <w:r>
        <w:rPr>
          <w:rFonts w:hint="eastAsia" w:ascii="Times New Roman" w:hAnsi="Times New Roman" w:eastAsia="方正小标宋简体" w:cs="方正小标宋简体"/>
          <w:spacing w:val="0"/>
          <w:sz w:val="44"/>
          <w:szCs w:val="44"/>
          <w:lang w:val="en-US" w:eastAsia="zh-CN"/>
        </w:rPr>
        <w:t>2026年大豆和油菜种植补助实施方案的通知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各市（州）农业农村局，相关县（市、区、特区）农业农村局：</w:t>
      </w:r>
    </w:p>
    <w:p>
      <w:pPr>
        <w:keepNext w:val="0"/>
        <w:keepLines w:val="0"/>
        <w:pageBreakBefore w:val="0"/>
        <w:widowControl w:val="0"/>
        <w:kinsoku/>
        <w:wordWrap/>
        <w:overflowPunct/>
        <w:topLinePunct w:val="0"/>
        <w:autoSpaceDE/>
        <w:autoSpaceDN/>
        <w:bidi w:val="0"/>
        <w:adjustRightInd/>
        <w:snapToGrid w:val="0"/>
        <w:spacing w:line="550" w:lineRule="exact"/>
        <w:ind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
        </w:rPr>
      </w:pPr>
      <w:r>
        <w:rPr>
          <w:rFonts w:hint="default" w:ascii="Times New Roman" w:hAnsi="Times New Roman" w:eastAsia="仿宋_GB2312" w:cs="Times New Roman"/>
          <w:sz w:val="32"/>
          <w:szCs w:val="32"/>
          <w:lang w:val="en-US" w:eastAsia="zh-CN"/>
        </w:rPr>
        <w:t>为贯彻落实党中央、国务院和省委、省政府关于</w:t>
      </w:r>
      <w:r>
        <w:rPr>
          <w:rFonts w:hint="eastAsia" w:eastAsia="仿宋_GB2312" w:cs="Times New Roman"/>
          <w:sz w:val="32"/>
          <w:szCs w:val="32"/>
          <w:lang w:val="en-US" w:eastAsia="zh-CN"/>
        </w:rPr>
        <w:t>扩种大豆油料的决策部署</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巩固扩种成果，促进单产提升，推动大豆和油菜种植补助发挥效益，</w:t>
      </w:r>
      <w:r>
        <w:rPr>
          <w:rFonts w:hint="default" w:ascii="Times New Roman" w:hAnsi="Times New Roman" w:eastAsia="仿宋_GB2312" w:cs="Times New Roman"/>
          <w:sz w:val="32"/>
          <w:szCs w:val="32"/>
          <w:lang w:val="en-US" w:eastAsia="zh-CN"/>
        </w:rPr>
        <w:t>我厅</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结合实际制定</w:t>
      </w: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
        </w:rPr>
        <w:t>了</w:t>
      </w:r>
      <w:r>
        <w:rPr>
          <w:rFonts w:hint="default" w:ascii="Times New Roman" w:hAnsi="Times New Roman" w:eastAsia="仿宋_GB2312" w:cs="Times New Roman"/>
          <w:sz w:val="32"/>
          <w:szCs w:val="32"/>
          <w:lang w:val="en-US" w:eastAsia="zh-CN"/>
        </w:rPr>
        <w:t>2026年大豆</w:t>
      </w:r>
      <w:r>
        <w:rPr>
          <w:rFonts w:hint="eastAsia" w:eastAsia="仿宋_GB2312" w:cs="Times New Roman"/>
          <w:sz w:val="32"/>
          <w:szCs w:val="32"/>
          <w:lang w:val="en-US" w:eastAsia="zh-CN"/>
        </w:rPr>
        <w:t>和油菜种植补助</w:t>
      </w:r>
      <w:r>
        <w:rPr>
          <w:rFonts w:hint="default" w:ascii="Times New Roman" w:hAnsi="Times New Roman" w:eastAsia="仿宋_GB2312" w:cs="Times New Roman"/>
          <w:i w:val="0"/>
          <w:iCs w:val="0"/>
          <w:caps w:val="0"/>
          <w:color w:val="auto"/>
          <w:spacing w:val="0"/>
          <w:kern w:val="2"/>
          <w:sz w:val="32"/>
          <w:szCs w:val="32"/>
          <w:shd w:val="clear" w:color="auto" w:fill="auto"/>
          <w:lang w:val="en-US" w:eastAsia="zh-CN" w:bidi="ar"/>
        </w:rPr>
        <w:t>实施方案，现予以印发，请参照执行。</w:t>
      </w:r>
    </w:p>
    <w:p>
      <w:pPr>
        <w:pStyle w:val="14"/>
        <w:keepNext w:val="0"/>
        <w:keepLines w:val="0"/>
        <w:pageBreakBefore w:val="0"/>
        <w:widowControl w:val="0"/>
        <w:kinsoku/>
        <w:wordWrap/>
        <w:overflowPunct/>
        <w:topLinePunct w:val="0"/>
        <w:autoSpaceDE/>
        <w:autoSpaceDN/>
        <w:bidi w:val="0"/>
        <w:adjustRightInd/>
        <w:snapToGrid w:val="0"/>
        <w:spacing w:line="550" w:lineRule="exact"/>
        <w:textAlignment w:val="auto"/>
        <w:rPr>
          <w:rFonts w:hint="default" w:ascii="Times New Roman" w:hAnsi="Times New Roman" w:cs="Times New Roman"/>
          <w:sz w:val="32"/>
          <w:szCs w:val="32"/>
          <w:lang w:val="en-US" w:eastAsia="zh-CN"/>
        </w:rPr>
      </w:pPr>
    </w:p>
    <w:p>
      <w:pPr>
        <w:pStyle w:val="16"/>
        <w:keepNext w:val="0"/>
        <w:keepLines w:val="0"/>
        <w:pageBreakBefore w:val="0"/>
        <w:widowControl w:val="0"/>
        <w:kinsoku/>
        <w:wordWrap/>
        <w:overflowPunct/>
        <w:topLinePunct w:val="0"/>
        <w:autoSpaceDE/>
        <w:autoSpaceDN/>
        <w:bidi w:val="0"/>
        <w:adjustRightInd/>
        <w:snapToGrid w:val="0"/>
        <w:spacing w:after="0" w:afterLines="0" w:line="55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附件：贵州省202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年大豆</w:t>
      </w:r>
      <w:r>
        <w:rPr>
          <w:rFonts w:hint="eastAsia" w:ascii="Times New Roman" w:hAnsi="Times New Roman" w:eastAsia="仿宋_GB2312" w:cs="Times New Roman"/>
          <w:sz w:val="32"/>
          <w:szCs w:val="32"/>
          <w:lang w:val="en-US" w:eastAsia="zh-CN"/>
        </w:rPr>
        <w:t>和油菜</w:t>
      </w:r>
      <w:r>
        <w:rPr>
          <w:rFonts w:hint="default" w:ascii="Times New Roman" w:hAnsi="Times New Roman" w:eastAsia="仿宋_GB2312" w:cs="Times New Roman"/>
          <w:sz w:val="32"/>
          <w:szCs w:val="32"/>
          <w:lang w:val="en-US" w:eastAsia="zh-CN"/>
        </w:rPr>
        <w:t>种植补助实施方案</w:t>
      </w:r>
    </w:p>
    <w:p>
      <w:pPr>
        <w:pStyle w:val="16"/>
        <w:keepNext w:val="0"/>
        <w:keepLines w:val="0"/>
        <w:pageBreakBefore w:val="0"/>
        <w:widowControl w:val="0"/>
        <w:kinsoku/>
        <w:wordWrap/>
        <w:overflowPunct/>
        <w:topLinePunct w:val="0"/>
        <w:autoSpaceDE/>
        <w:autoSpaceDN/>
        <w:bidi w:val="0"/>
        <w:adjustRightInd/>
        <w:snapToGrid w:val="0"/>
        <w:spacing w:after="0" w:afterLines="0" w:line="480" w:lineRule="exact"/>
        <w:ind w:left="0" w:leftChars="0" w:firstLine="0" w:firstLineChars="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101" w:leftChars="48" w:firstLine="0" w:firstLineChars="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贵州省农业农村厅办公室</w:t>
      </w:r>
    </w:p>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sz w:val="44"/>
          <w:szCs w:val="44"/>
          <w:lang w:val="en-US" w:eastAsia="zh-CN"/>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23</w:t>
      </w:r>
      <w:r>
        <w:rPr>
          <w:rFonts w:ascii="Times New Roman" w:hAnsi="Times New Roman" w:eastAsia="仿宋_GB2312"/>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eastAsia="zh-CN"/>
        </w:rPr>
        <w:sectPr>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keepLines/>
        <w:pageBreakBefore w:val="0"/>
        <w:widowControl w:val="0"/>
        <w:kinsoku/>
        <w:wordWrap/>
        <w:overflowPunct/>
        <w:topLinePunct w:val="0"/>
        <w:autoSpaceDE/>
        <w:autoSpaceDN/>
        <w:bidi w:val="0"/>
        <w:adjustRightInd/>
        <w:snapToGrid/>
        <w:spacing w:before="0" w:after="0" w:line="560" w:lineRule="exact"/>
        <w:textAlignment w:val="baseline"/>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方正小标宋简体"/>
          <w:spacing w:val="0"/>
          <w:sz w:val="44"/>
          <w:szCs w:val="44"/>
          <w:lang w:val="en-US" w:eastAsia="zh-CN"/>
        </w:rPr>
      </w:pPr>
      <w:r>
        <w:rPr>
          <w:rFonts w:hint="default" w:ascii="Times New Roman" w:hAnsi="Times New Roman" w:eastAsia="方正小标宋简体" w:cs="方正小标宋简体"/>
          <w:spacing w:val="0"/>
          <w:sz w:val="44"/>
          <w:szCs w:val="44"/>
          <w:lang w:val="en-US" w:eastAsia="zh-CN"/>
        </w:rPr>
        <w:t>贵州省2026年大豆和油菜种植补助实施方案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为深入贯彻落实党中央、国务院和省委、省政府关于扩种大豆油料的决策部署，多措并举巩固大豆扩种成果，挖掘油菜扩种潜力，提高大豆、油菜单产水平，规范种植补助资金管理，结合我省实际，制定本方案。</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一、目标任务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color w:val="auto"/>
          <w:kern w:val="2"/>
          <w:sz w:val="32"/>
          <w:szCs w:val="32"/>
          <w:lang w:val="en-US" w:eastAsia="zh-CN" w:bidi="ar-SA"/>
        </w:rPr>
        <w:t>稳定种植355万亩大豆、845万亩油菜，</w:t>
      </w:r>
      <w:r>
        <w:rPr>
          <w:rFonts w:hint="default" w:ascii="Times New Roman" w:hAnsi="Times New Roman" w:eastAsia="仿宋_GB2312" w:cs="Times New Roman"/>
          <w:b w:val="0"/>
          <w:color w:val="auto"/>
          <w:kern w:val="2"/>
          <w:sz w:val="32"/>
          <w:szCs w:val="32"/>
          <w:lang w:val="en-US" w:eastAsia="zh-CN" w:bidi="ar-SA"/>
        </w:rPr>
        <w:t>各县要及时制定方案，启动种子等物资采购工作，确保完成本级任务面积（详见附表）。</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二、补助对象</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大豆种植补助对象为2026年种植大豆的主体，油菜种植补助对象为2026年秋冬种种植油菜的主体，均包括流转土地种植的农户、种植大户、家庭农场、农民合作社、农业企业等经营主体。大豆种植补助包含</w:t>
      </w:r>
      <w:r>
        <w:rPr>
          <w:rFonts w:hint="default" w:ascii="Times New Roman" w:hAnsi="Times New Roman" w:eastAsia="仿宋_GB2312" w:cs="Times New Roman"/>
          <w:b w:val="0"/>
          <w:color w:val="auto"/>
          <w:kern w:val="2"/>
          <w:sz w:val="32"/>
          <w:szCs w:val="32"/>
          <w:lang w:val="en-US" w:eastAsia="zh-CN" w:bidi="ar-SA"/>
        </w:rPr>
        <w:t>大豆玉米带状复合种植主体。</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三、补助方式</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补助资金采取物化、社会化服务等方式进行。采取物化补助的，重点对大豆和油菜种子、肥料等生产资料进行补助，具备供应能力的县，可采取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统采统发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方式发放物资；采取社会化补助的，重点对机播机收、绿色防控等社会化服务环节进行补助；采取物化、社会化服务等相结合的，由县级根据实际选择，并在实施方案中明确。</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四、补助标准</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color w:val="auto"/>
          <w:kern w:val="2"/>
          <w:sz w:val="32"/>
          <w:szCs w:val="32"/>
          <w:lang w:val="en-US" w:eastAsia="zh-CN" w:bidi="ar-SA"/>
        </w:rPr>
        <w:t>大豆种植补助按100元/亩（折净大豆）、油菜种植补助按20元/亩标准对各县生产任务进行资金匹配，对于种植面积大于生产任务的，由县级根据实际面积测算后进行补助，</w:t>
      </w:r>
      <w:r>
        <w:rPr>
          <w:rFonts w:hint="default" w:ascii="Times New Roman" w:hAnsi="Times New Roman" w:eastAsia="仿宋_GB2312" w:cs="Times New Roman"/>
          <w:sz w:val="32"/>
          <w:szCs w:val="32"/>
          <w:lang w:val="en-US" w:eastAsia="zh-CN"/>
        </w:rPr>
        <w:t>确保种植补助全覆盖，补助资金通过黔财农</w:t>
      </w:r>
      <w:r>
        <w:rPr>
          <w:rFonts w:hint="default" w:ascii="Times New Roman" w:hAnsi="Times New Roman" w:eastAsia="仿宋"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2026</w:t>
      </w:r>
      <w:r>
        <w:rPr>
          <w:rFonts w:hint="default" w:ascii="Times New Roman" w:hAnsi="Times New Roman" w:eastAsia="仿宋" w:cs="Times New Roman"/>
          <w:b w:val="0"/>
          <w:color w:val="auto"/>
          <w:kern w:val="2"/>
          <w:sz w:val="32"/>
          <w:szCs w:val="32"/>
          <w:lang w:val="en-US" w:eastAsia="zh-CN" w:bidi="ar-SA"/>
        </w:rPr>
        <w:t>〕14</w:t>
      </w:r>
      <w:r>
        <w:rPr>
          <w:rFonts w:hint="default" w:ascii="Times New Roman" w:hAnsi="Times New Roman" w:eastAsia="仿宋_GB2312" w:cs="Times New Roman"/>
          <w:b w:val="0"/>
          <w:color w:val="auto"/>
          <w:kern w:val="2"/>
          <w:sz w:val="32"/>
          <w:szCs w:val="32"/>
          <w:lang w:val="en-US" w:eastAsia="zh-CN" w:bidi="ar-SA"/>
        </w:rPr>
        <w:t>号</w:t>
      </w:r>
      <w:r>
        <w:rPr>
          <w:rFonts w:hint="default" w:ascii="Times New Roman" w:hAnsi="Times New Roman" w:eastAsia="仿宋_GB2312" w:cs="Times New Roman"/>
          <w:sz w:val="32"/>
          <w:szCs w:val="32"/>
          <w:lang w:val="en-US" w:eastAsia="zh-CN"/>
        </w:rPr>
        <w:t>文件下达到县。</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（一）规范资金使用。</w:t>
      </w:r>
      <w:r>
        <w:rPr>
          <w:rFonts w:hint="default" w:ascii="Times New Roman" w:hAnsi="Times New Roman" w:eastAsia="仿宋_GB2312" w:cs="Times New Roman"/>
          <w:sz w:val="32"/>
          <w:szCs w:val="32"/>
          <w:lang w:val="en-US" w:eastAsia="zh-CN"/>
        </w:rPr>
        <w:t>根据《贵州省农业生产发展专项资金管理办法》（以下简称管理办法），</w:t>
      </w:r>
      <w:r>
        <w:rPr>
          <w:rFonts w:hint="default" w:ascii="Times New Roman" w:hAnsi="Times New Roman" w:eastAsia="仿宋_GB2312" w:cs="Times New Roman"/>
          <w:sz w:val="32"/>
          <w:szCs w:val="32"/>
          <w:highlight w:val="none"/>
          <w:lang w:val="en-US" w:eastAsia="zh-CN"/>
        </w:rPr>
        <w:t>按照乡村振兴资金使用监管突出问题专项整治要求，</w:t>
      </w:r>
      <w:r>
        <w:rPr>
          <w:rFonts w:hint="default" w:ascii="Times New Roman" w:hAnsi="Times New Roman" w:eastAsia="仿宋_GB2312" w:cs="Times New Roman"/>
          <w:sz w:val="32"/>
          <w:szCs w:val="32"/>
          <w:lang w:val="en-US" w:eastAsia="zh-CN"/>
        </w:rPr>
        <w:t>各市（州）要对本辖区内补助资金使用进行监管；各县要严格执行财政补助资金专账管理、专款专用制度，要制定可操作性强的实施方案，明确补助方式、时间节点、责任主体、具体要求、发放程序等。要抢抓生产关键节点，确保在3月底前、8月底前将大豆、油菜种植物资采购发放到位，资金使用要与农时相匹配。资金使用单位和个人虚报冒领、骗取套取、挤占挪用补助资金的，依法追究相应责任。</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（二）加强政策公开。</w:t>
      </w:r>
      <w:r>
        <w:rPr>
          <w:rFonts w:hint="default" w:ascii="Times New Roman" w:hAnsi="Times New Roman" w:eastAsia="仿宋_GB2312" w:cs="Times New Roman"/>
          <w:sz w:val="32"/>
          <w:szCs w:val="32"/>
          <w:lang w:val="en-US" w:eastAsia="zh-CN"/>
        </w:rPr>
        <w:t>各地要加大补助政策的公示公开和宣传力度。按照管理办法要求，县级要在上级主管部门、本级政府或本部门门户网站等公开补助政策。积极通过广播、电视以及新媒体等多种方式做好政策宣传和解读，发动农户种植。要引导基层干部特别是镇村两级干部准确把握补助的政策目标和管理要求，提高政策知晓率。</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（三）确保资金支付。</w:t>
      </w:r>
      <w:r>
        <w:rPr>
          <w:rFonts w:hint="default" w:ascii="Times New Roman" w:hAnsi="Times New Roman" w:eastAsia="仿宋_GB2312" w:cs="Times New Roman"/>
          <w:sz w:val="32"/>
          <w:szCs w:val="32"/>
          <w:lang w:val="en-US" w:eastAsia="zh-CN"/>
        </w:rPr>
        <w:t>县级农业农村部门要抓紧组织物资采购、发放等，及时收集完善报账资料，提交财政部门报账。及时在农业农村部转移支付平台录入、更新资金支付和绩效完成情况，10月底前将大豆种植补助资金支付完毕，2027年6月底前将油菜种植补助资金支付完毕。</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（四）做好资料报送。</w:t>
      </w:r>
      <w:r>
        <w:rPr>
          <w:rFonts w:hint="default" w:ascii="Times New Roman" w:hAnsi="Times New Roman" w:eastAsia="仿宋_GB2312" w:cs="Times New Roman"/>
          <w:sz w:val="32"/>
          <w:szCs w:val="32"/>
          <w:lang w:val="en-US" w:eastAsia="zh-CN"/>
        </w:rPr>
        <w:t>各市（州）分别于</w:t>
      </w:r>
      <w:r>
        <w:rPr>
          <w:rFonts w:hint="default" w:ascii="Times New Roman" w:hAnsi="Times New Roman" w:eastAsia="仿宋_GB2312" w:cs="Times New Roman"/>
          <w:sz w:val="32"/>
          <w:szCs w:val="32"/>
          <w:highlight w:val="none"/>
          <w:lang w:val="en-US" w:eastAsia="zh-CN"/>
        </w:rPr>
        <w:t>2月5日前、6月30日前将所辖县（区）</w:t>
      </w:r>
      <w:r>
        <w:rPr>
          <w:rFonts w:hint="default" w:ascii="Times New Roman" w:hAnsi="Times New Roman" w:eastAsia="仿宋_GB2312" w:cs="Times New Roman"/>
          <w:sz w:val="32"/>
          <w:szCs w:val="32"/>
          <w:lang w:val="en-US" w:eastAsia="zh-CN"/>
        </w:rPr>
        <w:t>大豆、油菜种植补助实施方案（含资金使用安排）报我厅备案。分别于11月30日、2027年7月30日前将审核汇总后的工作总结报我厅备案。联系人：张雪姣</w:t>
      </w:r>
      <w:r>
        <w:rPr>
          <w:rFonts w:hint="default" w:ascii="Times New Roman" w:hAnsi="Times New Roman" w:eastAsia="仿宋_GB2312" w:cs="Times New Roman"/>
          <w:color w:val="auto"/>
          <w:sz w:val="32"/>
          <w:szCs w:val="32"/>
          <w:lang w:val="en-US" w:eastAsia="zh-CN"/>
        </w:rPr>
        <w:t>，电话：0851—85285372；邮箱：</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"mailto:gzsnwzzyc@163.com。" </w:instrText>
      </w:r>
      <w:r>
        <w:rPr>
          <w:rFonts w:hint="default" w:ascii="Times New Roman" w:hAnsi="Times New Roman" w:eastAsia="仿宋_GB2312" w:cs="Times New Roman"/>
          <w:color w:val="auto"/>
          <w:sz w:val="32"/>
          <w:szCs w:val="32"/>
          <w:lang w:val="en-US" w:eastAsia="zh-CN"/>
        </w:rPr>
        <w:fldChar w:fldCharType="separate"/>
      </w:r>
      <w:r>
        <w:rPr>
          <w:rStyle w:val="13"/>
          <w:rFonts w:hint="default" w:ascii="Times New Roman" w:hAnsi="Times New Roman" w:eastAsia="仿宋_GB2312" w:cs="Times New Roman"/>
          <w:color w:val="auto"/>
          <w:sz w:val="32"/>
          <w:szCs w:val="32"/>
          <w:lang w:val="en-US" w:eastAsia="zh-CN"/>
        </w:rPr>
        <w:t>gzsnwzzyc@163.com。</w:t>
      </w:r>
      <w:r>
        <w:rPr>
          <w:rFonts w:hint="default" w:ascii="Times New Roman" w:hAnsi="Times New Roman" w:eastAsia="仿宋_GB2312" w:cs="Times New Roman"/>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附表：贵州省2026年大豆和油菜种植补助任务安排表</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w:t>
      </w:r>
    </w:p>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baseline"/>
        <w:rPr>
          <w:rFonts w:hint="eastAsia" w:ascii="方正小标宋简体" w:hAnsi="方正小标宋简体" w:eastAsia="方正小标宋简体" w:cs="方正小标宋简体"/>
          <w:b w:val="0"/>
          <w:bCs/>
          <w:sz w:val="36"/>
          <w:szCs w:val="36"/>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baseline"/>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贵州省2026年大豆和油菜种植补助任务安排表</w:t>
      </w:r>
    </w:p>
    <w:p>
      <w:pPr>
        <w:rPr>
          <w:rFonts w:hint="eastAsia"/>
          <w:lang w:val="en-US" w:eastAsia="zh-CN"/>
        </w:rPr>
      </w:pPr>
    </w:p>
    <w:tbl>
      <w:tblPr>
        <w:tblStyle w:val="9"/>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6"/>
        <w:gridCol w:w="1461"/>
        <w:gridCol w:w="1417"/>
        <w:gridCol w:w="1586"/>
        <w:gridCol w:w="1347"/>
        <w:gridCol w:w="2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blHeader/>
          <w:jc w:val="center"/>
        </w:trPr>
        <w:tc>
          <w:tcPr>
            <w:tcW w:w="77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8"/>
                <w:rFonts w:hAnsi="Times New Roman"/>
                <w:lang w:val="en-US" w:eastAsia="zh-CN" w:bidi="ar"/>
              </w:rPr>
              <w:t>序号</w:t>
            </w:r>
          </w:p>
        </w:tc>
        <w:tc>
          <w:tcPr>
            <w:tcW w:w="14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8"/>
                <w:rFonts w:hAnsi="Times New Roman"/>
                <w:lang w:val="en-US" w:eastAsia="zh-CN" w:bidi="ar"/>
              </w:rPr>
              <w:t>单位</w:t>
            </w:r>
          </w:p>
        </w:tc>
        <w:tc>
          <w:tcPr>
            <w:tcW w:w="300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仿宋_GB2312" w:hAnsi="Times New Roman" w:eastAsia="仿宋_GB2312" w:cs="仿宋_GB2312"/>
                <w:b/>
                <w:i w:val="0"/>
                <w:color w:val="000000"/>
                <w:kern w:val="0"/>
                <w:sz w:val="22"/>
                <w:szCs w:val="22"/>
                <w:u w:val="none"/>
                <w:lang w:val="en-US" w:eastAsia="zh-CN" w:bidi="ar"/>
              </w:rPr>
              <w:t>大豆种植补助</w:t>
            </w:r>
          </w:p>
        </w:tc>
        <w:tc>
          <w:tcPr>
            <w:tcW w:w="383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仿宋_GB2312" w:hAnsi="Times New Roman" w:eastAsia="仿宋_GB2312" w:cs="仿宋_GB2312"/>
                <w:b/>
                <w:i w:val="0"/>
                <w:color w:val="000000"/>
                <w:kern w:val="0"/>
                <w:sz w:val="22"/>
                <w:szCs w:val="22"/>
                <w:u w:val="none"/>
                <w:lang w:val="en-US" w:eastAsia="zh-CN" w:bidi="ar"/>
              </w:rPr>
              <w:t>油菜种植补助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Header/>
          <w:jc w:val="center"/>
        </w:trPr>
        <w:tc>
          <w:tcPr>
            <w:tcW w:w="77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4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18"/>
                <w:rFonts w:hAnsi="Times New Roman"/>
                <w:lang w:val="en-US" w:eastAsia="zh-CN" w:bidi="ar"/>
              </w:rPr>
            </w:pPr>
            <w:r>
              <w:rPr>
                <w:rStyle w:val="18"/>
                <w:rFonts w:hAnsi="Times New Roman"/>
                <w:lang w:val="en-US" w:eastAsia="zh-CN" w:bidi="ar"/>
              </w:rPr>
              <w:t>补助资金</w:t>
            </w:r>
          </w:p>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8"/>
                <w:rFonts w:hAnsi="Times New Roman"/>
                <w:lang w:val="en-US" w:eastAsia="zh-CN" w:bidi="ar"/>
              </w:rPr>
              <w:t>（万元）</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8"/>
                <w:rFonts w:hAnsi="Times New Roman"/>
                <w:lang w:val="en-US" w:eastAsia="zh-CN" w:bidi="ar"/>
              </w:rPr>
              <w:t>大豆生产任务（万亩）</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18"/>
                <w:rFonts w:hAnsi="Times New Roman"/>
                <w:lang w:val="en-US" w:eastAsia="zh-CN" w:bidi="ar"/>
              </w:rPr>
              <w:t>补助资金（万元）</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2026</w:t>
            </w:r>
            <w:r>
              <w:rPr>
                <w:rStyle w:val="18"/>
                <w:rFonts w:hAnsi="Times New Roman"/>
                <w:lang w:val="en-US" w:eastAsia="zh-CN" w:bidi="ar"/>
              </w:rPr>
              <w:t>年秋冬种油菜生产任务（万亩）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乌当区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花溪区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imes New Roman" w:hAnsi="Times New Roman" w:eastAsia="宋体" w:cs="Times New Roman"/>
                <w:i w:val="0"/>
                <w:color w:val="000000"/>
                <w:sz w:val="22"/>
                <w:szCs w:val="22"/>
                <w:u w:val="none"/>
                <w:lang w:val="en-US" w:eastAsia="zh-CN"/>
              </w:rPr>
            </w:pPr>
            <w:r>
              <w:rPr>
                <w:rFonts w:hint="eastAsia" w:cs="Times New Roman"/>
                <w:i w:val="0"/>
                <w:color w:val="000000"/>
                <w:sz w:val="22"/>
                <w:szCs w:val="22"/>
                <w:u w:val="none"/>
                <w:lang w:val="en-US" w:eastAsia="zh-CN"/>
              </w:rPr>
              <w:t>/</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29.1</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白云区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观山湖区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清镇市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修文县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息烽县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开阳县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282.4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Times New Roman" w:eastAsia="仿宋_GB2312" w:cs="仿宋_GB2312"/>
                <w:i w:val="0"/>
                <w:color w:val="000000"/>
                <w:kern w:val="0"/>
                <w:sz w:val="22"/>
                <w:szCs w:val="22"/>
                <w:u w:val="none"/>
                <w:lang w:val="en-US" w:eastAsia="zh-CN" w:bidi="ar"/>
              </w:rPr>
            </w:pPr>
            <w:r>
              <w:rPr>
                <w:rFonts w:hint="eastAsia" w:ascii="仿宋_GB2312" w:hAnsi="Times New Roman" w:eastAsia="仿宋_GB2312" w:cs="仿宋_GB2312"/>
                <w:i w:val="0"/>
                <w:color w:val="000000"/>
                <w:kern w:val="0"/>
                <w:sz w:val="22"/>
                <w:szCs w:val="22"/>
                <w:u w:val="none"/>
                <w:lang w:val="en-US" w:eastAsia="zh-CN" w:bidi="ar"/>
              </w:rPr>
              <w:t>贵安新区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0.34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40.9</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贵阳贵安小计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1099</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10.99</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946</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新蒲新区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红花岗区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汇川区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播州区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桐梓县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绥阳县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湄潭县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凤冈县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余庆县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仁怀市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赤水市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习水县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正安县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道真县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务川县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遵义市小计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7000</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70</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3548</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六枝特区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盘州市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1390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13.9</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水城区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钟山区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六盘水市小计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3100</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31</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676</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仿宋_GB2312" w:hAnsi="Times New Roman" w:eastAsia="仿宋_GB2312" w:cs="仿宋_GB2312"/>
                <w:i w:val="0"/>
                <w:color w:val="000000"/>
                <w:kern w:val="0"/>
                <w:sz w:val="18"/>
                <w:szCs w:val="18"/>
                <w:u w:val="none"/>
                <w:lang w:val="en-US" w:eastAsia="zh-CN" w:bidi="ar"/>
              </w:rPr>
              <w:t>黄果树风景名胜区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西秀区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平坝区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普定县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镇宁县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关岭县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紫云县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仿宋_GB2312" w:hAnsi="Times New Roman" w:eastAsia="仿宋_GB2312" w:cs="仿宋_GB2312"/>
                <w:i w:val="0"/>
                <w:color w:val="000000"/>
                <w:kern w:val="0"/>
                <w:sz w:val="18"/>
                <w:szCs w:val="18"/>
                <w:u w:val="none"/>
                <w:lang w:val="en-US" w:eastAsia="zh-CN" w:bidi="ar"/>
              </w:rPr>
              <w:t>安顺经济技术开发区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安顺市小计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1674</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16.74</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1820</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仿宋_GB2312" w:hAnsi="Times New Roman" w:eastAsia="仿宋_GB2312" w:cs="仿宋_GB2312"/>
                <w:i w:val="0"/>
                <w:color w:val="000000"/>
                <w:kern w:val="0"/>
                <w:sz w:val="18"/>
                <w:szCs w:val="18"/>
                <w:u w:val="none"/>
                <w:lang w:val="en-US" w:eastAsia="zh-CN" w:bidi="ar"/>
              </w:rPr>
              <w:t>百里杜鹃管理区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七星关区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34.5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大方县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黔西市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932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金沙县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织金县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纳雍县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威宁县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赫章县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r>
              <w:rPr>
                <w:rFonts w:hint="eastAsia" w:cs="Times New Roman"/>
                <w:i w:val="0"/>
                <w:color w:val="000000"/>
                <w:sz w:val="22"/>
                <w:szCs w:val="22"/>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毕节市小计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13500</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135</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2110</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碧江区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松桃县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284.8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玉屏县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万山区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87.6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江口县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155</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石阡县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290.2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印江县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思南县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323</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德江县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沿河县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铜仁市小计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2800</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28</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1888</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凯里市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黄平县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麻江县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183</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103</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丹寨县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雷山县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0.25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41.2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施秉县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112.6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镇远县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三穗县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0.7</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岑巩县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178.2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天柱县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86</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锦屏县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0.85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109.8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黎平县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237</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榕江县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288</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202.2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从江县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141.6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剑河县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66</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51.8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台江县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63.8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黔东南州小计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1900</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19</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1852</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都匀市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1.89</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独山县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237</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平塘县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285.4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荔波县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三都县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223</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福泉市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272</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2.72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瓮安县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262</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2.62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312</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贵定县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291</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2.91</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龙里县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235</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惠水县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234</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2.34</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245.6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82</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长顺县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2.48</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罗甸县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533</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5.33</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106</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黔南州小计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3227</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32.27</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2646</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84</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兴义市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300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兴仁市</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314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86</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贞丰县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87</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册亨县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124</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88</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望谟县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110</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89</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普安县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117</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90</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晴隆县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73</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7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91</w:t>
            </w:r>
          </w:p>
        </w:tc>
        <w:tc>
          <w:tcPr>
            <w:tcW w:w="14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eastAsia" w:ascii="仿宋_GB2312" w:hAnsi="Times New Roman" w:eastAsia="仿宋_GB2312" w:cs="仿宋_GB2312"/>
                <w:i w:val="0"/>
                <w:color w:val="000000"/>
                <w:kern w:val="0"/>
                <w:sz w:val="22"/>
                <w:szCs w:val="22"/>
                <w:u w:val="none"/>
                <w:lang w:val="en-US" w:eastAsia="zh-CN" w:bidi="ar"/>
              </w:rPr>
              <w:t>安龙县</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120</w:t>
            </w:r>
          </w:p>
        </w:tc>
        <w:tc>
          <w:tcPr>
            <w:tcW w:w="15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13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148</w:t>
            </w:r>
          </w:p>
        </w:tc>
        <w:tc>
          <w:tcPr>
            <w:tcW w:w="24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2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2"/>
                <w:szCs w:val="22"/>
                <w:u w:val="none"/>
              </w:rPr>
            </w:pPr>
            <w:r>
              <w:rPr>
                <w:rFonts w:hint="eastAsia" w:ascii="仿宋_GB2312" w:hAnsi="宋体" w:eastAsia="仿宋_GB2312" w:cs="仿宋_GB2312"/>
                <w:b/>
                <w:i w:val="0"/>
                <w:color w:val="000000"/>
                <w:kern w:val="0"/>
                <w:sz w:val="22"/>
                <w:szCs w:val="22"/>
                <w:u w:val="none"/>
                <w:lang w:val="en-US" w:eastAsia="zh-CN" w:bidi="ar"/>
              </w:rPr>
              <w:t>黔西南州小计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1200</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12</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1414</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23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eastAsia" w:ascii="仿宋_GB2312" w:hAnsi="Times New Roman" w:eastAsia="仿宋_GB2312" w:cs="仿宋_GB2312"/>
                <w:b/>
                <w:i w:val="0"/>
                <w:color w:val="000000"/>
                <w:kern w:val="0"/>
                <w:sz w:val="22"/>
                <w:szCs w:val="22"/>
                <w:u w:val="none"/>
                <w:lang w:val="en-US" w:eastAsia="zh-CN" w:bidi="ar"/>
              </w:rPr>
              <w:t>合计</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35500</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355</w:t>
            </w:r>
          </w:p>
        </w:tc>
        <w:tc>
          <w:tcPr>
            <w:tcW w:w="13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16900</w:t>
            </w:r>
          </w:p>
        </w:tc>
        <w:tc>
          <w:tcPr>
            <w:tcW w:w="24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845</w:t>
            </w:r>
          </w:p>
        </w:tc>
      </w:tr>
    </w:tbl>
    <w:p>
      <w:pPr>
        <w:pStyle w:val="4"/>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rPr>
      </w:pPr>
    </w:p>
    <w:sectPr>
      <w:footerReference r:id="rId3"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EFF" w:usb1="4000785B"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02943"/>
    <w:rsid w:val="00FD5D64"/>
    <w:rsid w:val="06E332EC"/>
    <w:rsid w:val="0B282A68"/>
    <w:rsid w:val="0E653276"/>
    <w:rsid w:val="12F018F0"/>
    <w:rsid w:val="132C6170"/>
    <w:rsid w:val="1BD01A69"/>
    <w:rsid w:val="1D0D374F"/>
    <w:rsid w:val="2035014F"/>
    <w:rsid w:val="2AB203A8"/>
    <w:rsid w:val="36802943"/>
    <w:rsid w:val="3B784BB4"/>
    <w:rsid w:val="43BB6885"/>
    <w:rsid w:val="43D3168F"/>
    <w:rsid w:val="456055B0"/>
    <w:rsid w:val="47286C2D"/>
    <w:rsid w:val="49FB00A3"/>
    <w:rsid w:val="51077D3F"/>
    <w:rsid w:val="5D7A0B9C"/>
    <w:rsid w:val="65187A2B"/>
    <w:rsid w:val="65CD6888"/>
    <w:rsid w:val="69F25C8D"/>
    <w:rsid w:val="6BF92762"/>
    <w:rsid w:val="70742EE0"/>
    <w:rsid w:val="70AB1D3F"/>
    <w:rsid w:val="75331F8B"/>
    <w:rsid w:val="7A3A49F5"/>
    <w:rsid w:val="7B162A32"/>
    <w:rsid w:val="7D05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link w:val="12"/>
    <w:semiHidden/>
    <w:qFormat/>
    <w:uiPriority w:val="0"/>
    <w:rPr>
      <w:rFonts w:hint="eastAsia"/>
    </w:rPr>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3" w:lineRule="auto"/>
      <w:jc w:val="both"/>
      <w:textAlignment w:val="baseline"/>
    </w:pPr>
    <w:rPr>
      <w:b/>
      <w:kern w:val="2"/>
      <w:sz w:val="32"/>
      <w:szCs w:val="22"/>
      <w:lang w:val="en-US" w:eastAsia="zh-CN" w:bidi="ar-SA"/>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9"/>
    <w:basedOn w:val="1"/>
    <w:next w:val="1"/>
    <w:qFormat/>
    <w:uiPriority w:val="0"/>
    <w:pPr>
      <w:ind w:left="1600" w:leftChars="1600"/>
    </w:p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cs="宋体"/>
      <w:kern w:val="0"/>
      <w:sz w:val="24"/>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w:basedOn w:val="1"/>
    <w:link w:val="11"/>
    <w:qFormat/>
    <w:uiPriority w:val="0"/>
    <w:pPr>
      <w:widowControl/>
      <w:spacing w:after="160" w:afterLines="0" w:line="240" w:lineRule="exact"/>
      <w:jc w:val="left"/>
    </w:pPr>
    <w:rPr>
      <w:rFonts w:hint="eastAsia"/>
    </w:rPr>
  </w:style>
  <w:style w:type="character" w:styleId="13">
    <w:name w:val="Hyperlink"/>
    <w:basedOn w:val="11"/>
    <w:qFormat/>
    <w:uiPriority w:val="0"/>
    <w:rPr>
      <w:color w:val="0000FF"/>
      <w:u w:val="none"/>
    </w:rPr>
  </w:style>
  <w:style w:type="paragraph" w:customStyle="1" w:styleId="14">
    <w:name w:val="正文-公1"/>
    <w:basedOn w:val="15"/>
    <w:next w:val="8"/>
    <w:uiPriority w:val="0"/>
    <w:pPr>
      <w:ind w:firstLine="200" w:firstLineChars="200"/>
    </w:pPr>
    <w:rPr>
      <w:rFonts w:ascii="Calibri" w:hAnsi="Calibri" w:cs="黑体"/>
      <w:color w:val="000000"/>
      <w:szCs w:val="24"/>
    </w:rPr>
  </w:style>
  <w:style w:type="paragraph" w:customStyle="1" w:styleId="15">
    <w:name w:val="正文 New"/>
    <w:next w:val="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ody Text First Indent 2"/>
    <w:basedOn w:val="17"/>
    <w:qFormat/>
    <w:uiPriority w:val="0"/>
    <w:pPr>
      <w:ind w:firstLine="420" w:firstLineChars="200"/>
    </w:pPr>
    <w:rPr>
      <w:rFonts w:ascii="Calibri" w:hAnsi="Calibri" w:eastAsia="宋体" w:cs="Times New Roman"/>
    </w:rPr>
  </w:style>
  <w:style w:type="paragraph" w:customStyle="1" w:styleId="17">
    <w:name w:val="Body Text Indent"/>
    <w:basedOn w:val="1"/>
    <w:qFormat/>
    <w:uiPriority w:val="0"/>
    <w:pPr>
      <w:spacing w:after="120" w:afterLines="0"/>
      <w:ind w:left="420"/>
    </w:pPr>
  </w:style>
  <w:style w:type="character" w:customStyle="1" w:styleId="18">
    <w:name w:val="font121"/>
    <w:basedOn w:val="11"/>
    <w:qFormat/>
    <w:uiPriority w:val="0"/>
    <w:rPr>
      <w:rFonts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2025-04-29T08:22:00Z</dcterms:created>
  <dc:creator>lenovo</dc:creator>
  <cp:lastModifiedBy>Administrator</cp:lastModifiedBy>
  <cp:lastPrinted>2026-01-23T10:06:00Z</cp:lastPrinted>
  <dcterms:modified xsi:type="dcterms:W3CDTF">2026-01-23T10:06:40Z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