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C352CD">
      <w:pPr>
        <w:pStyle w:val="7"/>
        <w:keepNext w:val="0"/>
        <w:keepLines w:val="0"/>
        <w:widowControl w:val="0"/>
        <w:suppressLineNumbers w:val="0"/>
        <w:autoSpaceDE w:val="0"/>
        <w:autoSpaceDN/>
        <w:spacing w:before="0" w:beforeAutospacing="0" w:after="0" w:afterAutospacing="0" w:line="600" w:lineRule="exact"/>
        <w:ind w:left="0" w:right="0"/>
        <w:jc w:val="center"/>
        <w:rPr>
          <w:rFonts w:hint="eastAsia" w:ascii="方正小标宋简体" w:hAnsi="方正小标宋简体" w:eastAsia="方正小标宋简体" w:cs="方正小标宋简体"/>
          <w:kern w:val="2"/>
          <w:sz w:val="44"/>
          <w:szCs w:val="44"/>
          <w:lang w:val="en-US" w:eastAsia="zh-CN" w:bidi="ar"/>
        </w:rPr>
      </w:pPr>
    </w:p>
    <w:p w14:paraId="63E03597">
      <w:pPr>
        <w:pStyle w:val="7"/>
        <w:keepNext w:val="0"/>
        <w:keepLines w:val="0"/>
        <w:widowControl w:val="0"/>
        <w:suppressLineNumbers w:val="0"/>
        <w:autoSpaceDE w:val="0"/>
        <w:autoSpaceDN/>
        <w:spacing w:before="0" w:beforeAutospacing="0" w:after="0" w:afterAutospacing="0" w:line="600" w:lineRule="exact"/>
        <w:ind w:left="0" w:right="0"/>
        <w:jc w:val="center"/>
        <w:rPr>
          <w:rFonts w:hint="eastAsia" w:ascii="方正小标宋简体" w:hAnsi="方正小标宋简体" w:eastAsia="方正小标宋简体" w:cs="方正小标宋简体"/>
          <w:kern w:val="2"/>
          <w:sz w:val="44"/>
          <w:szCs w:val="44"/>
        </w:rPr>
      </w:pPr>
      <w:r>
        <w:rPr>
          <w:rFonts w:hint="eastAsia" w:ascii="方正小标宋简体" w:hAnsi="方正小标宋简体" w:eastAsia="方正小标宋简体" w:cs="方正小标宋简体"/>
          <w:kern w:val="2"/>
          <w:sz w:val="44"/>
          <w:szCs w:val="44"/>
          <w:lang w:val="en-US" w:eastAsia="zh-CN" w:bidi="ar"/>
        </w:rPr>
        <w:t>2026年主要农作物“三夏”生产</w:t>
      </w:r>
    </w:p>
    <w:p w14:paraId="47E131C2">
      <w:pPr>
        <w:pStyle w:val="7"/>
        <w:keepNext w:val="0"/>
        <w:keepLines w:val="0"/>
        <w:widowControl w:val="0"/>
        <w:suppressLineNumbers w:val="0"/>
        <w:autoSpaceDE w:val="0"/>
        <w:autoSpaceDN/>
        <w:spacing w:before="0" w:beforeAutospacing="0" w:after="0" w:afterAutospacing="0" w:line="600" w:lineRule="exact"/>
        <w:ind w:left="0" w:right="0"/>
        <w:jc w:val="center"/>
        <w:rPr>
          <w:rFonts w:hint="eastAsia" w:ascii="方正小标宋简体" w:hAnsi="方正小标宋简体" w:eastAsia="方正小标宋简体" w:cs="方正小标宋简体"/>
          <w:kern w:val="2"/>
          <w:sz w:val="44"/>
          <w:szCs w:val="44"/>
        </w:rPr>
      </w:pPr>
      <w:r>
        <w:rPr>
          <w:rFonts w:hint="eastAsia" w:ascii="方正小标宋简体" w:hAnsi="方正小标宋简体" w:eastAsia="方正小标宋简体" w:cs="方正小标宋简体"/>
          <w:kern w:val="2"/>
          <w:sz w:val="44"/>
          <w:szCs w:val="44"/>
          <w:lang w:val="en-US" w:eastAsia="zh-CN" w:bidi="ar"/>
        </w:rPr>
        <w:t>机械化技术指导意见</w:t>
      </w:r>
    </w:p>
    <w:p w14:paraId="360A641A">
      <w:pPr>
        <w:pStyle w:val="7"/>
        <w:keepNext w:val="0"/>
        <w:keepLines w:val="0"/>
        <w:widowControl w:val="0"/>
        <w:suppressLineNumbers w:val="0"/>
        <w:autoSpaceDE w:val="0"/>
        <w:autoSpaceDN/>
        <w:spacing w:before="0" w:beforeAutospacing="0" w:after="0" w:afterAutospacing="0" w:line="600" w:lineRule="exact"/>
        <w:ind w:left="0" w:right="0" w:firstLine="0" w:firstLineChars="0"/>
        <w:jc w:val="center"/>
        <w:rPr>
          <w:rFonts w:hint="eastAsia" w:ascii="仿宋_GB2312" w:eastAsia="方正小标宋简体" w:cs="仿宋_GB2312"/>
          <w:kern w:val="2"/>
          <w:sz w:val="44"/>
          <w:szCs w:val="44"/>
        </w:rPr>
      </w:pPr>
      <w:r>
        <w:rPr>
          <w:rFonts w:hint="eastAsia" w:ascii="仿宋_GB2312" w:hAnsi="Calibri" w:eastAsia="方正小标宋简体" w:cs="仿宋_GB2312"/>
          <w:kern w:val="2"/>
          <w:sz w:val="44"/>
          <w:szCs w:val="44"/>
          <w:lang w:val="en-US" w:eastAsia="zh-CN" w:bidi="ar"/>
        </w:rPr>
        <w:t xml:space="preserve"> </w:t>
      </w:r>
    </w:p>
    <w:p w14:paraId="765987A0">
      <w:pPr>
        <w:pStyle w:val="7"/>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仿宋_GB2312" w:hAnsi="Calibri" w:eastAsia="仿宋_GB2312" w:cs="仿宋_GB2312"/>
          <w:kern w:val="2"/>
          <w:sz w:val="32"/>
          <w:szCs w:val="32"/>
          <w:lang w:val="en-US" w:eastAsia="zh-CN" w:bidi="ar"/>
        </w:rPr>
        <w:t>“三夏”生产将至，做好先进适用农机装备及其配套技术大面积推广应用</w:t>
      </w:r>
      <w:r>
        <w:rPr>
          <w:rFonts w:hint="eastAsia" w:ascii="仿宋_GB2312" w:eastAsia="仿宋_GB2312" w:cs="仿宋_GB2312"/>
          <w:kern w:val="2"/>
          <w:sz w:val="32"/>
          <w:szCs w:val="32"/>
          <w:lang w:val="en-US" w:bidi="ar"/>
        </w:rPr>
        <w:t>，</w:t>
      </w:r>
      <w:r>
        <w:rPr>
          <w:rFonts w:hint="eastAsia" w:ascii="仿宋_GB2312" w:hAnsi="Calibri" w:eastAsia="仿宋_GB2312" w:cs="仿宋_GB2312"/>
          <w:kern w:val="2"/>
          <w:sz w:val="32"/>
          <w:szCs w:val="32"/>
          <w:lang w:val="en-US" w:eastAsia="zh-CN" w:bidi="ar"/>
        </w:rPr>
        <w:t>确保机械化生产顺利高效开展至关重要。各地要立足生产实际，强化农机装备保障与精准技术指导，全力服务“三夏”生产高效有序推进。</w:t>
      </w:r>
    </w:p>
    <w:p w14:paraId="7C17D7CD">
      <w:pPr>
        <w:pStyle w:val="7"/>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黑体" w:hAnsi="宋体" w:eastAsia="黑体" w:cs="黑体"/>
          <w:kern w:val="2"/>
          <w:sz w:val="32"/>
          <w:szCs w:val="32"/>
        </w:rPr>
      </w:pPr>
      <w:r>
        <w:rPr>
          <w:rFonts w:hint="eastAsia" w:ascii="黑体" w:hAnsi="宋体" w:eastAsia="黑体" w:cs="黑体"/>
          <w:kern w:val="2"/>
          <w:sz w:val="32"/>
          <w:szCs w:val="32"/>
          <w:lang w:val="en-US" w:eastAsia="zh-CN" w:bidi="ar"/>
        </w:rPr>
        <w:t>一、冬小麦</w:t>
      </w:r>
    </w:p>
    <w:p w14:paraId="1DE1BA1F">
      <w:pPr>
        <w:pStyle w:val="7"/>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楷体_GB2312" w:hAnsi="Calibri" w:eastAsia="楷体_GB2312" w:cs="楷体_GB2312"/>
          <w:kern w:val="2"/>
          <w:sz w:val="32"/>
          <w:szCs w:val="32"/>
          <w:lang w:val="en-US" w:eastAsia="zh-CN" w:bidi="ar"/>
        </w:rPr>
        <w:t>（一）适期收获。</w:t>
      </w:r>
      <w:r>
        <w:rPr>
          <w:rFonts w:hint="eastAsia" w:ascii="仿宋_GB2312" w:hAnsi="Calibri" w:eastAsia="仿宋_GB2312" w:cs="仿宋_GB2312"/>
          <w:kern w:val="2"/>
          <w:sz w:val="32"/>
          <w:szCs w:val="32"/>
          <w:lang w:val="en-US" w:eastAsia="zh-CN" w:bidi="ar"/>
        </w:rPr>
        <w:t>小麦最佳收获期为蜡熟末期至完熟初期，籽粒含水率约15%～25%</w:t>
      </w:r>
      <w:r>
        <w:rPr>
          <w:rFonts w:hint="eastAsia" w:ascii="仿宋_GB2312" w:eastAsia="仿宋_GB2312" w:cs="仿宋_GB2312"/>
          <w:kern w:val="2"/>
          <w:sz w:val="32"/>
          <w:szCs w:val="32"/>
          <w:lang w:val="en-US" w:bidi="ar"/>
        </w:rPr>
        <w:t>。此时收获的小麦</w:t>
      </w:r>
      <w:r>
        <w:rPr>
          <w:rFonts w:hint="eastAsia" w:ascii="仿宋_GB2312" w:hAnsi="Calibri" w:eastAsia="仿宋_GB2312" w:cs="仿宋_GB2312"/>
          <w:kern w:val="2"/>
          <w:sz w:val="32"/>
          <w:szCs w:val="32"/>
          <w:lang w:val="en-US" w:eastAsia="zh-CN" w:bidi="ar"/>
        </w:rPr>
        <w:t>产量最高、品质最好，收获时损失也最少。该时期小麦主要特征为：蜡熟末期植株变黄，仅叶鞘茎部略带绿色，茎秆仍有弹性，籽粒黄色稍硬，内含物呈蜡状，含水率20%～25%；完熟初期叶片枯黄，籽粒变硬，呈品种本色，含水率在20%以下。如急需抢种下茬作物，或收获易落粒品种，或出现折秆、折穗、穗上发芽等情况，应适当提前收获。如遇大范围长时间降雨，应密切关注天气变化，雨前集中力量抢时收获，必要时可充分利用夜间作业，及时将小麦收获归仓。</w:t>
      </w:r>
    </w:p>
    <w:p w14:paraId="2478D635">
      <w:pPr>
        <w:pStyle w:val="7"/>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楷体_GB2312" w:hAnsi="Calibri" w:eastAsia="楷体_GB2312" w:cs="楷体_GB2312"/>
          <w:kern w:val="2"/>
          <w:sz w:val="32"/>
          <w:szCs w:val="32"/>
          <w:lang w:val="en-US" w:eastAsia="zh-CN" w:bidi="ar"/>
        </w:rPr>
        <w:t>（二）机具选择与调试。</w:t>
      </w:r>
      <w:r>
        <w:rPr>
          <w:rFonts w:hint="eastAsia" w:ascii="仿宋_GB2312" w:hAnsi="Calibri" w:eastAsia="仿宋_GB2312" w:cs="仿宋_GB2312"/>
          <w:kern w:val="2"/>
          <w:sz w:val="32"/>
          <w:szCs w:val="32"/>
          <w:lang w:val="en-US" w:eastAsia="zh-CN" w:bidi="ar"/>
        </w:rPr>
        <w:t>一般选用全喂入轮式谷物联合收割机，宜配置茎秆切碎和抛洒装置，优先选择纵轴流谷物联合收割机。作业季节开始前应依据产品使用说明书对联合收割机进行一次全面检查与保养。大面积正式作业前，应选择有代表性的地块进行试收，对照作业质量标准仔细检查损失率、破碎率、含杂率以及有无漏割、堵草、跑粮等异常情况，并以此为依据进行必要调整。</w:t>
      </w:r>
    </w:p>
    <w:p w14:paraId="7DA15877">
      <w:pPr>
        <w:pStyle w:val="7"/>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楷体_GB2312" w:hAnsi="Calibri" w:eastAsia="楷体_GB2312" w:cs="楷体_GB2312"/>
          <w:kern w:val="2"/>
          <w:sz w:val="32"/>
          <w:szCs w:val="32"/>
          <w:lang w:val="en-US" w:eastAsia="zh-CN" w:bidi="ar"/>
        </w:rPr>
        <w:t>（三）规范作业。</w:t>
      </w:r>
      <w:r>
        <w:rPr>
          <w:rFonts w:hint="eastAsia" w:ascii="仿宋_GB2312" w:hAnsi="Calibri" w:eastAsia="仿宋_GB2312" w:cs="仿宋_GB2312"/>
          <w:kern w:val="2"/>
          <w:sz w:val="32"/>
          <w:szCs w:val="32"/>
          <w:lang w:val="en-US" w:eastAsia="zh-CN" w:bidi="ar"/>
        </w:rPr>
        <w:t>收获作业一般采取顺时针向心回转、逆时针向心回转、梭形路线作业三种作业方式。作业时，应尽量保持匀速直线行驶，并根据喂入量、小麦产量、自然高度、干湿程度选择合理作业速度、幅宽（一般为割台宽度的90%）、脱粒间隙、筛子开度和风扇风量等。拨禾轮线速度一般为前进速度1.1～1.2倍，弹齿或压板作用于小麦2/3高度。作业质量应达到NY/T 995-2025《谷物联合收割机 作业质量》要求：损失率≤1.8%，破碎率≤1.0%，含杂率≤2.0%；割茬高度一般≤15cm。</w:t>
      </w:r>
    </w:p>
    <w:p w14:paraId="61A94436">
      <w:pPr>
        <w:pStyle w:val="7"/>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楷体_GB2312" w:hAnsi="Calibri" w:eastAsia="楷体_GB2312" w:cs="楷体_GB2312"/>
          <w:kern w:val="2"/>
          <w:sz w:val="32"/>
          <w:szCs w:val="32"/>
          <w:lang w:val="en-US" w:eastAsia="zh-CN" w:bidi="ar"/>
        </w:rPr>
        <w:t>（四）特殊场景作业。</w:t>
      </w:r>
      <w:r>
        <w:rPr>
          <w:rFonts w:hint="eastAsia" w:ascii="仿宋_GB2312" w:hAnsi="Calibri" w:eastAsia="仿宋_GB2312" w:cs="仿宋_GB2312"/>
          <w:kern w:val="2"/>
          <w:sz w:val="32"/>
          <w:szCs w:val="32"/>
          <w:lang w:val="en-US" w:eastAsia="zh-CN" w:bidi="ar"/>
        </w:rPr>
        <w:t>收获倒伏小麦应增风量、降速减喂入，距地面高度视倒伏情况调整，一般低于10cm，重倒伏采取逆倒伏方向收获，拨禾弹齿后倾15～30°，拨禾轮适当前移，必要时可安装专用的扶禾器。过熟小麦应在早晨或傍晚收获，调低拨禾轮转速、降低作业速度，减小清选筛开度。如遇到连阴雨天气，应尽可能采用履带式谷物联合收割机。</w:t>
      </w:r>
    </w:p>
    <w:p w14:paraId="0D800D7F">
      <w:pPr>
        <w:pStyle w:val="7"/>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楷体_GB2312" w:hAnsi="Calibri" w:eastAsia="楷体_GB2312" w:cs="楷体_GB2312"/>
          <w:kern w:val="2"/>
          <w:sz w:val="32"/>
          <w:szCs w:val="32"/>
          <w:lang w:val="en-US" w:eastAsia="zh-CN" w:bidi="ar"/>
        </w:rPr>
        <w:t>（五）小麦应急烘干。</w:t>
      </w:r>
      <w:r>
        <w:rPr>
          <w:rFonts w:hint="eastAsia" w:ascii="仿宋_GB2312" w:hAnsi="Calibri" w:eastAsia="仿宋_GB2312" w:cs="仿宋_GB2312"/>
          <w:kern w:val="2"/>
          <w:sz w:val="32"/>
          <w:szCs w:val="32"/>
          <w:lang w:val="en-US" w:eastAsia="zh-CN" w:bidi="ar"/>
        </w:rPr>
        <w:t>小麦收获时，籽粒含水率一般不超过20%。如遇连阴雨天气导致小麦籽粒含水率过高，应及时开展应急烘干，各地应根据需求缺口尽快补足烘干能力，按需完成湿粮抢烘任务。小麦应急烘干，宜采用不落地及时干燥方式，即小麦收获后，不在地上堆放，直接清选，尽快烘干。如条件不具备，在等待应急烘干时，应及时做好通风晾晒，必要时采用风机等设备及时通风散热，避免堆积发热、发酵霉变。烘干时，一般采用常规烘干法，即直接将湿小麦烘干至安全贮藏含水率。如有大量过湿小麦待烘，为提高烘干效率、避免小麦变质，可采用分段烘干法，即将湿小麦烘干至临时存储适宜含水率（一般为20%左右），待所有过湿小麦集中处理完成后，再将小麦烘干至安全贮藏含水率。小麦烘干作业质量应符合GB/T 21016-2023《小麦干燥技术规范》标准要求：破碎率≤0.3%</w:t>
      </w:r>
      <w:r>
        <w:rPr>
          <w:rFonts w:hint="eastAsia" w:ascii="仿宋_GB2312" w:eastAsia="仿宋_GB2312" w:cs="仿宋_GB2312"/>
          <w:kern w:val="2"/>
          <w:sz w:val="32"/>
          <w:szCs w:val="32"/>
          <w:lang w:val="en-US" w:bidi="ar"/>
        </w:rPr>
        <w:t>。</w:t>
      </w:r>
      <w:r>
        <w:rPr>
          <w:rFonts w:hint="eastAsia" w:ascii="仿宋_GB2312" w:hAnsi="Calibri" w:eastAsia="仿宋_GB2312" w:cs="仿宋_GB2312"/>
          <w:kern w:val="2"/>
          <w:sz w:val="32"/>
          <w:szCs w:val="32"/>
          <w:lang w:val="en-US" w:eastAsia="zh-CN" w:bidi="ar"/>
        </w:rPr>
        <w:t>干燥不均匀度：循环式干燥机≤1.0%，连续式干燥机降水幅度≤5%时，≤1.0%；5%＜降水幅度≤10%时，≤1.5%；降水幅度&gt;10%时，≤2.0%。烘干后色泽、气味无明显变化，无热损伤，无焦糊，容重不低于干燥前。</w:t>
      </w:r>
    </w:p>
    <w:p w14:paraId="65B53AA3">
      <w:pPr>
        <w:pStyle w:val="7"/>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黑体" w:hAnsi="宋体" w:eastAsia="黑体" w:cs="黑体"/>
          <w:kern w:val="2"/>
          <w:sz w:val="32"/>
          <w:szCs w:val="32"/>
        </w:rPr>
      </w:pPr>
      <w:r>
        <w:rPr>
          <w:rFonts w:hint="eastAsia" w:ascii="黑体" w:hAnsi="宋体" w:eastAsia="黑体" w:cs="黑体"/>
          <w:kern w:val="2"/>
          <w:sz w:val="32"/>
          <w:szCs w:val="32"/>
          <w:lang w:val="en-US" w:eastAsia="zh-CN" w:bidi="ar"/>
        </w:rPr>
        <w:t>二、夏玉米</w:t>
      </w:r>
    </w:p>
    <w:p w14:paraId="329FC55B">
      <w:pPr>
        <w:pStyle w:val="7"/>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楷体_GB2312" w:hAnsi="Calibri" w:eastAsia="楷体_GB2312" w:cs="楷体_GB2312"/>
          <w:kern w:val="2"/>
          <w:sz w:val="32"/>
          <w:szCs w:val="32"/>
          <w:lang w:val="en-US" w:eastAsia="zh-CN" w:bidi="ar"/>
        </w:rPr>
        <w:t>（一）选择适宜机具。</w:t>
      </w:r>
      <w:r>
        <w:rPr>
          <w:rFonts w:hint="eastAsia" w:ascii="仿宋_GB2312" w:hAnsi="Calibri" w:eastAsia="仿宋_GB2312" w:cs="仿宋_GB2312"/>
          <w:kern w:val="2"/>
          <w:sz w:val="32"/>
          <w:szCs w:val="32"/>
          <w:lang w:val="en-US" w:eastAsia="zh-CN" w:bidi="ar"/>
        </w:rPr>
        <w:t>宜采用配套北斗导航辅助驾驶系统、播种作业监测终端和铺滴灌带功能的高性能精量播种机。播种机应具备破茬开沟、播种、施肥、覆土、镇压等功能，排种机构配置气力式或指夹式排种器（优先推荐气力式），以提高播种粒距均匀性，减少重播、漏播，实现较高作业速度下均匀播种；仿形机构应采用单体独立同步仿形机构，在播种机开沟器位置同步仿形，实现播种深度均匀一致，提高出苗整齐度；镇压机构应采用V型或单体轮式苗带镇压机构，提高镇压效果，确保种子与土壤紧密结合。</w:t>
      </w:r>
    </w:p>
    <w:p w14:paraId="0762059B">
      <w:pPr>
        <w:pStyle w:val="7"/>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楷体_GB2312" w:hAnsi="Calibri" w:eastAsia="楷体_GB2312" w:cs="楷体_GB2312"/>
          <w:kern w:val="2"/>
          <w:sz w:val="32"/>
          <w:szCs w:val="32"/>
          <w:lang w:val="en-US" w:eastAsia="zh-CN" w:bidi="ar"/>
        </w:rPr>
        <w:t>（二）机具调试。</w:t>
      </w:r>
      <w:r>
        <w:rPr>
          <w:rFonts w:hint="eastAsia" w:ascii="仿宋_GB2312" w:hAnsi="Calibri" w:eastAsia="仿宋_GB2312" w:cs="仿宋_GB2312"/>
          <w:kern w:val="2"/>
          <w:sz w:val="32"/>
          <w:szCs w:val="32"/>
          <w:lang w:val="en-US" w:eastAsia="zh-CN" w:bidi="ar"/>
        </w:rPr>
        <w:t>作业前按说明书全面检查保养播种机，确保机具作业性能正常。调节三点悬挂与限位机构，优化清茬防堵效果，确保能有效切断并清理播种带的秸秆和杂草。通过镇压轮挡位调节镇压力。大面积播种前进行试播，检查行距、粒距、播种深度、施肥量、施肥深度是否满足要求，有无秸秆拥堵、种管和肥管堵塞等异常情况，并以此为依据进一步调整。</w:t>
      </w:r>
    </w:p>
    <w:p w14:paraId="0630817F">
      <w:pPr>
        <w:pStyle w:val="7"/>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楷体_GB2312" w:hAnsi="Calibri" w:eastAsia="楷体_GB2312" w:cs="楷体_GB2312"/>
          <w:kern w:val="2"/>
          <w:sz w:val="32"/>
          <w:szCs w:val="32"/>
          <w:lang w:val="en-US" w:eastAsia="zh-CN" w:bidi="ar"/>
        </w:rPr>
        <w:t>（三）适期规范播种。</w:t>
      </w:r>
      <w:r>
        <w:rPr>
          <w:rFonts w:hint="eastAsia" w:ascii="仿宋_GB2312" w:hAnsi="Calibri" w:eastAsia="仿宋_GB2312" w:cs="仿宋_GB2312"/>
          <w:kern w:val="2"/>
          <w:sz w:val="32"/>
          <w:szCs w:val="32"/>
          <w:lang w:val="en-US" w:eastAsia="zh-CN" w:bidi="ar"/>
        </w:rPr>
        <w:t>玉米播种一般在小麦收获后一周内完成，推荐宽窄行（宽行70～80cm，窄行40～50cm）或等行距（行距60cm）播种，播深控制在3～5cm。播种作业时，一般采取往复作业方式，并根据地块条件、播种机性能等选择适宜的播种作业速度。气力式播种机一般控制在8～10km/h，指夹式播种机作业速度一般控制在6～8km/h。</w:t>
      </w:r>
    </w:p>
    <w:p w14:paraId="220D2D69">
      <w:pPr>
        <w:pStyle w:val="7"/>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楷体_GB2312" w:hAnsi="Calibri" w:eastAsia="楷体_GB2312" w:cs="楷体_GB2312"/>
          <w:kern w:val="2"/>
          <w:sz w:val="32"/>
          <w:szCs w:val="32"/>
          <w:lang w:val="en-US" w:eastAsia="zh-CN" w:bidi="ar"/>
        </w:rPr>
        <w:t>（四）质量要求。</w:t>
      </w:r>
      <w:r>
        <w:rPr>
          <w:rFonts w:hint="eastAsia" w:ascii="仿宋_GB2312" w:hAnsi="Calibri" w:eastAsia="仿宋_GB2312" w:cs="仿宋_GB2312"/>
          <w:kern w:val="2"/>
          <w:sz w:val="32"/>
          <w:szCs w:val="32"/>
          <w:lang w:val="en-US" w:eastAsia="zh-CN" w:bidi="ar"/>
        </w:rPr>
        <w:t xml:space="preserve">作业质量宜达到如下要求：播种深度合格率≥85%；种肥间距合格率≥90%；晾籽率≤2%；当播种粒距≤10cm时，粒距合格指数≥70%，重播指数≤20%，漏播指数≤10%，合格粒距变异系数≤35%；当10cm＜播种粒距≤20cm时，粒距合格指数≥80%，重播指数≤15%，漏播指数≤8%，合格粒距变异系数≤30%；当20cm＜播种粒距≤30cm时，粒距合格指数≥90%，重播指数≤10%，漏播指数≤6%，合格粒距变异系数≤25%。 </w:t>
      </w:r>
    </w:p>
    <w:p w14:paraId="0D9DED8F">
      <w:pPr>
        <w:pStyle w:val="7"/>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黑体" w:hAnsi="宋体" w:eastAsia="黑体" w:cs="黑体"/>
          <w:kern w:val="2"/>
          <w:sz w:val="32"/>
          <w:szCs w:val="32"/>
        </w:rPr>
      </w:pPr>
      <w:r>
        <w:rPr>
          <w:rFonts w:hint="eastAsia" w:ascii="黑体" w:hAnsi="宋体" w:eastAsia="黑体" w:cs="黑体"/>
          <w:kern w:val="2"/>
          <w:sz w:val="32"/>
          <w:szCs w:val="32"/>
          <w:lang w:val="en-US" w:eastAsia="zh-CN" w:bidi="ar"/>
        </w:rPr>
        <w:t>三、大豆</w:t>
      </w:r>
    </w:p>
    <w:p w14:paraId="39EE883D">
      <w:pPr>
        <w:pStyle w:val="7"/>
        <w:keepNext w:val="0"/>
        <w:keepLines w:val="0"/>
        <w:widowControl w:val="0"/>
        <w:suppressLineNumbers w:val="0"/>
        <w:autoSpaceDE w:val="0"/>
        <w:autoSpaceDN/>
        <w:spacing w:before="0" w:beforeAutospacing="0" w:after="0" w:afterAutospacing="0" w:line="600" w:lineRule="exact"/>
        <w:ind w:left="0" w:leftChars="0" w:right="0" w:firstLine="640" w:firstLineChars="200"/>
        <w:jc w:val="both"/>
        <w:rPr>
          <w:rFonts w:hint="eastAsia" w:ascii="仿宋_GB2312" w:eastAsia="仿宋_GB2312" w:cs="仿宋_GB2312"/>
          <w:kern w:val="2"/>
          <w:sz w:val="32"/>
          <w:szCs w:val="32"/>
        </w:rPr>
      </w:pPr>
      <w:r>
        <w:rPr>
          <w:rFonts w:hint="eastAsia" w:ascii="楷体_GB2312" w:hAnsi="Calibri" w:eastAsia="楷体_GB2312" w:cs="楷体_GB2312"/>
          <w:kern w:val="2"/>
          <w:sz w:val="32"/>
          <w:szCs w:val="32"/>
          <w:lang w:val="en-US" w:eastAsia="zh-CN" w:bidi="ar"/>
        </w:rPr>
        <w:t>（一）机具选择。</w:t>
      </w:r>
      <w:r>
        <w:rPr>
          <w:rFonts w:hint="eastAsia" w:ascii="仿宋_GB2312" w:hAnsi="Calibri" w:eastAsia="仿宋_GB2312" w:cs="仿宋_GB2312"/>
          <w:kern w:val="2"/>
          <w:sz w:val="32"/>
          <w:szCs w:val="32"/>
          <w:lang w:val="en-US" w:eastAsia="zh-CN" w:bidi="ar"/>
        </w:rPr>
        <w:t>建议选择高性能精量播种机播种，一次性完成播种、侧深施肥、封闭除草、秸秆覆盖等作业。所选播种机应具有仿型部件，保证播种深度一致。</w:t>
      </w:r>
    </w:p>
    <w:p w14:paraId="4C3AD09B">
      <w:pPr>
        <w:pStyle w:val="7"/>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楷体_GB2312" w:hAnsi="Calibri" w:eastAsia="楷体_GB2312" w:cs="楷体_GB2312"/>
          <w:kern w:val="2"/>
          <w:sz w:val="32"/>
          <w:szCs w:val="32"/>
          <w:lang w:val="en-US" w:eastAsia="zh-CN" w:bidi="ar"/>
        </w:rPr>
        <w:t>（二）适墒精播。</w:t>
      </w:r>
      <w:r>
        <w:rPr>
          <w:rFonts w:hint="eastAsia" w:ascii="仿宋_GB2312" w:hAnsi="Calibri" w:eastAsia="仿宋_GB2312" w:cs="仿宋_GB2312"/>
          <w:kern w:val="2"/>
          <w:sz w:val="32"/>
          <w:szCs w:val="32"/>
          <w:lang w:val="en-US" w:eastAsia="zh-CN" w:bidi="ar"/>
        </w:rPr>
        <w:t>麦收后土壤墒情适宜时抢墒播种。如遇干旱，应雨后抢播，也可造墒播种或播后及时微喷（滴灌）补墒；严禁浇“蒙头水”</w:t>
      </w:r>
      <w:r>
        <w:rPr>
          <w:rFonts w:hint="eastAsia" w:ascii="仿宋_GB2312" w:eastAsia="仿宋_GB2312" w:cs="仿宋_GB2312"/>
          <w:kern w:val="2"/>
          <w:sz w:val="32"/>
          <w:szCs w:val="32"/>
          <w:lang w:val="en-US" w:bidi="ar"/>
        </w:rPr>
        <w:t>，</w:t>
      </w:r>
      <w:r>
        <w:rPr>
          <w:rFonts w:hint="eastAsia" w:ascii="仿宋_GB2312" w:hAnsi="Calibri" w:eastAsia="仿宋_GB2312" w:cs="仿宋_GB2312"/>
          <w:kern w:val="2"/>
          <w:sz w:val="32"/>
          <w:szCs w:val="32"/>
          <w:lang w:val="en-US" w:eastAsia="zh-CN" w:bidi="ar"/>
        </w:rPr>
        <w:t>以免土壤板结造成缺苗严重。土壤较湿时，不宜对小麦秸秆进行打包离田以防车辆反复碾压造成车辙多且深，影响播种质量。播种深度一般3～4cm，土壤黏重地块适当浅播。提倡结合播种侧深施肥（10cm左右）。根据品种特性及生产条件等确定适宜种植密度。净作大豆一般每亩用种4～6kg，行距40～50cm，播种深度3～4cm，亩保苗数1.5万～1.8万株。</w:t>
      </w:r>
    </w:p>
    <w:p w14:paraId="34C222F3">
      <w:pPr>
        <w:pStyle w:val="7"/>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楷体_GB2312" w:hAnsi="Calibri" w:eastAsia="楷体_GB2312" w:cs="楷体_GB2312"/>
          <w:kern w:val="2"/>
          <w:sz w:val="32"/>
          <w:szCs w:val="32"/>
          <w:lang w:val="en-US" w:eastAsia="zh-CN" w:bidi="ar"/>
        </w:rPr>
        <w:t>（三）精准施药。</w:t>
      </w:r>
      <w:r>
        <w:rPr>
          <w:rFonts w:hint="eastAsia" w:ascii="仿宋_GB2312" w:hAnsi="Calibri" w:eastAsia="仿宋_GB2312" w:cs="仿宋_GB2312"/>
          <w:kern w:val="2"/>
          <w:sz w:val="32"/>
          <w:szCs w:val="32"/>
          <w:lang w:val="en-US" w:eastAsia="zh-CN" w:bidi="ar"/>
        </w:rPr>
        <w:t>建议播种后进行封闭除草，封闭除草效果不理想的田块，可在大豆2～3片复叶期进行苗后除草，可采用中耕苗间除草机，边中耕边除草，锄齿入土深度2～4cm。对大豆玉米带状复合种植出苗后进行除草作业时，应使用具备分区施药功能的自走式喷杆喷雾机作业，以防药害。</w:t>
      </w:r>
    </w:p>
    <w:p w14:paraId="73442CE6">
      <w:pPr>
        <w:pStyle w:val="7"/>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黑体" w:hAnsi="宋体" w:eastAsia="黑体" w:cs="黑体"/>
          <w:kern w:val="2"/>
          <w:sz w:val="32"/>
          <w:szCs w:val="32"/>
        </w:rPr>
      </w:pPr>
      <w:r>
        <w:rPr>
          <w:rFonts w:hint="eastAsia" w:ascii="黑体" w:hAnsi="宋体" w:eastAsia="黑体" w:cs="黑体"/>
          <w:kern w:val="2"/>
          <w:sz w:val="32"/>
          <w:szCs w:val="32"/>
          <w:lang w:val="en-US" w:eastAsia="zh-CN" w:bidi="ar"/>
        </w:rPr>
        <w:t>四、花生</w:t>
      </w:r>
    </w:p>
    <w:p w14:paraId="5B31BC4C">
      <w:pPr>
        <w:pStyle w:val="7"/>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楷体_GB2312" w:eastAsia="楷体_GB2312" w:cs="楷体_GB2312"/>
          <w:kern w:val="2"/>
          <w:sz w:val="32"/>
          <w:szCs w:val="32"/>
        </w:rPr>
      </w:pPr>
      <w:r>
        <w:rPr>
          <w:rFonts w:hint="eastAsia" w:ascii="楷体_GB2312" w:hAnsi="Calibri" w:eastAsia="楷体_GB2312" w:cs="楷体_GB2312"/>
          <w:kern w:val="2"/>
          <w:sz w:val="32"/>
          <w:szCs w:val="32"/>
          <w:lang w:val="en-US" w:eastAsia="zh-CN" w:bidi="ar"/>
        </w:rPr>
        <w:t>（一）春花生</w:t>
      </w:r>
    </w:p>
    <w:p w14:paraId="6E35BA09">
      <w:pPr>
        <w:pStyle w:val="7"/>
        <w:keepNext w:val="0"/>
        <w:keepLines w:val="0"/>
        <w:widowControl w:val="0"/>
        <w:suppressLineNumbers w:val="0"/>
        <w:autoSpaceDE w:val="0"/>
        <w:autoSpaceDN/>
        <w:spacing w:before="0" w:beforeAutospacing="0" w:after="0" w:afterAutospacing="0" w:line="600" w:lineRule="exact"/>
        <w:ind w:left="0" w:right="0" w:firstLine="643" w:firstLineChars="200"/>
        <w:jc w:val="both"/>
        <w:rPr>
          <w:rFonts w:hint="eastAsia" w:ascii="仿宋_GB2312" w:eastAsia="仿宋_GB2312" w:cs="仿宋_GB2312"/>
          <w:kern w:val="2"/>
          <w:sz w:val="32"/>
          <w:szCs w:val="32"/>
        </w:rPr>
      </w:pPr>
      <w:r>
        <w:rPr>
          <w:rFonts w:hint="eastAsia" w:ascii="仿宋_GB2312" w:hAnsi="Calibri" w:eastAsia="仿宋_GB2312" w:cs="仿宋_GB2312"/>
          <w:b/>
          <w:bCs/>
          <w:kern w:val="2"/>
          <w:sz w:val="32"/>
          <w:szCs w:val="32"/>
          <w:lang w:val="en-US" w:eastAsia="zh-CN" w:bidi="ar"/>
        </w:rPr>
        <w:t>1.中耕培土。</w:t>
      </w:r>
      <w:r>
        <w:rPr>
          <w:rFonts w:hint="eastAsia" w:ascii="仿宋_GB2312" w:hAnsi="Calibri" w:eastAsia="仿宋_GB2312" w:cs="仿宋_GB2312"/>
          <w:kern w:val="2"/>
          <w:sz w:val="32"/>
          <w:szCs w:val="32"/>
          <w:lang w:val="en-US" w:eastAsia="zh-CN" w:bidi="ar"/>
        </w:rPr>
        <w:t>一般在花生单株盛花期、群体植株封垄前进行中耕培土作业。可选用与种植模式配套的中耕机一次完成中耕除草和培土等。</w:t>
      </w:r>
    </w:p>
    <w:p w14:paraId="757C5CAD">
      <w:pPr>
        <w:pStyle w:val="7"/>
        <w:keepNext w:val="0"/>
        <w:keepLines w:val="0"/>
        <w:widowControl w:val="0"/>
        <w:suppressLineNumbers w:val="0"/>
        <w:autoSpaceDE w:val="0"/>
        <w:autoSpaceDN/>
        <w:spacing w:before="0" w:beforeAutospacing="0" w:after="0" w:afterAutospacing="0" w:line="600" w:lineRule="exact"/>
        <w:ind w:left="0" w:right="0" w:firstLine="643" w:firstLineChars="200"/>
        <w:jc w:val="both"/>
        <w:rPr>
          <w:rFonts w:hint="eastAsia" w:ascii="仿宋_GB2312" w:eastAsia="仿宋_GB2312" w:cs="仿宋_GB2312"/>
          <w:kern w:val="2"/>
          <w:sz w:val="32"/>
          <w:szCs w:val="32"/>
        </w:rPr>
      </w:pPr>
      <w:r>
        <w:rPr>
          <w:rFonts w:hint="eastAsia" w:ascii="仿宋_GB2312" w:hAnsi="Calibri" w:eastAsia="仿宋_GB2312" w:cs="仿宋_GB2312"/>
          <w:b/>
          <w:bCs/>
          <w:kern w:val="2"/>
          <w:sz w:val="32"/>
          <w:szCs w:val="32"/>
          <w:lang w:val="en-US" w:eastAsia="zh-CN" w:bidi="ar"/>
        </w:rPr>
        <w:t>2.病虫害防治。</w:t>
      </w:r>
      <w:r>
        <w:rPr>
          <w:rFonts w:hint="eastAsia" w:ascii="仿宋_GB2312" w:hAnsi="Calibri" w:eastAsia="仿宋_GB2312" w:cs="仿宋_GB2312"/>
          <w:kern w:val="2"/>
          <w:sz w:val="32"/>
          <w:szCs w:val="32"/>
          <w:lang w:val="en-US" w:eastAsia="zh-CN" w:bidi="ar"/>
        </w:rPr>
        <w:t>根据植保机构的预测预报，选择适宜的药剂和施药时间。在植保机具选择上，根据不同种植模式可采用植保无人机或适宜的喷杆喷雾机等机具。机械化植保作业应符合NY/T 650-2013《喷雾机（器）作业质量》、NY/T 1276-2025《农药安全使用规范总则》等方面的要求。</w:t>
      </w:r>
    </w:p>
    <w:p w14:paraId="627AC222">
      <w:pPr>
        <w:pStyle w:val="7"/>
        <w:keepNext w:val="0"/>
        <w:keepLines w:val="0"/>
        <w:widowControl w:val="0"/>
        <w:suppressLineNumbers w:val="0"/>
        <w:autoSpaceDE w:val="0"/>
        <w:autoSpaceDN/>
        <w:spacing w:before="0" w:beforeAutospacing="0" w:after="0" w:afterAutospacing="0" w:line="600" w:lineRule="exact"/>
        <w:ind w:left="0" w:right="0" w:firstLine="643" w:firstLineChars="200"/>
        <w:jc w:val="both"/>
        <w:rPr>
          <w:rFonts w:hint="eastAsia" w:ascii="仿宋_GB2312" w:eastAsia="仿宋_GB2312" w:cs="仿宋_GB2312"/>
          <w:kern w:val="2"/>
          <w:sz w:val="32"/>
          <w:szCs w:val="32"/>
        </w:rPr>
      </w:pPr>
      <w:r>
        <w:rPr>
          <w:rFonts w:hint="eastAsia" w:ascii="仿宋_GB2312" w:hAnsi="Calibri" w:eastAsia="仿宋_GB2312" w:cs="仿宋_GB2312"/>
          <w:b/>
          <w:bCs/>
          <w:kern w:val="2"/>
          <w:sz w:val="32"/>
          <w:szCs w:val="32"/>
          <w:lang w:val="en-US" w:eastAsia="zh-CN" w:bidi="ar"/>
        </w:rPr>
        <w:t>3.化控调节，防徒长倒伏。</w:t>
      </w:r>
      <w:r>
        <w:rPr>
          <w:rFonts w:hint="eastAsia" w:ascii="仿宋_GB2312" w:hAnsi="Calibri" w:eastAsia="仿宋_GB2312" w:cs="仿宋_GB2312"/>
          <w:kern w:val="2"/>
          <w:sz w:val="32"/>
          <w:szCs w:val="32"/>
          <w:lang w:val="en-US" w:eastAsia="zh-CN" w:bidi="ar"/>
        </w:rPr>
        <w:t>花生盛花后期至结荚前期，株高超过35cm，有徒长趋势的地块，须采用化学药剂进行控制，防止徒长倒伏。喷洒器械可选用植保无人机或喷杆喷雾机进行作业，要均匀喷雾，避免重喷、漏喷和喷后遇雨。如采用半喂入花生联合收获，还应确保花生秧蔓到收获期保持直立，株高控制在45～50cm。化控过度的，还要采用植保无人机或喷杆喷雾机追施叶面肥。</w:t>
      </w:r>
    </w:p>
    <w:p w14:paraId="5FE175B3">
      <w:pPr>
        <w:pStyle w:val="7"/>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楷体_GB2312" w:eastAsia="楷体_GB2312" w:cs="楷体_GB2312"/>
          <w:kern w:val="2"/>
          <w:sz w:val="32"/>
          <w:szCs w:val="32"/>
        </w:rPr>
      </w:pPr>
      <w:r>
        <w:rPr>
          <w:rFonts w:hint="eastAsia" w:ascii="楷体_GB2312" w:hAnsi="Calibri" w:eastAsia="楷体_GB2312" w:cs="楷体_GB2312"/>
          <w:kern w:val="2"/>
          <w:sz w:val="32"/>
          <w:szCs w:val="32"/>
          <w:lang w:val="en-US" w:eastAsia="zh-CN" w:bidi="ar"/>
        </w:rPr>
        <w:t>（二）夏花生</w:t>
      </w:r>
    </w:p>
    <w:p w14:paraId="5D4D24DD">
      <w:pPr>
        <w:pStyle w:val="7"/>
        <w:keepNext w:val="0"/>
        <w:keepLines w:val="0"/>
        <w:widowControl w:val="0"/>
        <w:suppressLineNumbers w:val="0"/>
        <w:autoSpaceDE w:val="0"/>
        <w:autoSpaceDN/>
        <w:spacing w:before="0" w:beforeAutospacing="0" w:after="0" w:afterAutospacing="0" w:line="600" w:lineRule="exact"/>
        <w:ind w:left="0" w:right="0" w:firstLine="643" w:firstLineChars="200"/>
        <w:jc w:val="both"/>
        <w:rPr>
          <w:rFonts w:hint="eastAsia" w:ascii="仿宋_GB2312" w:eastAsia="仿宋_GB2312" w:cs="仿宋_GB2312"/>
          <w:kern w:val="2"/>
          <w:sz w:val="32"/>
          <w:szCs w:val="32"/>
        </w:rPr>
      </w:pPr>
      <w:r>
        <w:rPr>
          <w:rFonts w:hint="eastAsia" w:ascii="仿宋_GB2312" w:hAnsi="Calibri" w:eastAsia="仿宋_GB2312" w:cs="仿宋_GB2312"/>
          <w:b/>
          <w:bCs/>
          <w:kern w:val="2"/>
          <w:sz w:val="32"/>
          <w:szCs w:val="32"/>
          <w:lang w:val="en-US" w:eastAsia="zh-CN" w:bidi="ar"/>
        </w:rPr>
        <w:t>1.土壤耕整。</w:t>
      </w:r>
      <w:r>
        <w:rPr>
          <w:rFonts w:hint="eastAsia" w:ascii="仿宋_GB2312" w:hAnsi="Calibri" w:eastAsia="仿宋_GB2312" w:cs="仿宋_GB2312"/>
          <w:kern w:val="2"/>
          <w:sz w:val="32"/>
          <w:szCs w:val="32"/>
          <w:lang w:val="en-US" w:eastAsia="zh-CN" w:bidi="ar"/>
        </w:rPr>
        <w:t>建议综合采用翻松旋等方式。首次深耕作业深度≥25cm，后续年份可加深至30～35cm，深耕作业后一般采用驱动耙或旋耕机作业一遍。深松作业深度宜超过犁底层深度，且≥30cm。肥料施用宜随耕整地作业深施或撒施，建议混施有机、无机肥。</w:t>
      </w:r>
    </w:p>
    <w:p w14:paraId="6D546BB2">
      <w:pPr>
        <w:pStyle w:val="7"/>
        <w:keepNext w:val="0"/>
        <w:keepLines w:val="0"/>
        <w:widowControl w:val="0"/>
        <w:suppressLineNumbers w:val="0"/>
        <w:autoSpaceDE w:val="0"/>
        <w:autoSpaceDN/>
        <w:spacing w:before="0" w:beforeAutospacing="0" w:after="0" w:afterAutospacing="0" w:line="600" w:lineRule="exact"/>
        <w:ind w:left="0" w:right="0" w:firstLine="643" w:firstLineChars="200"/>
        <w:jc w:val="both"/>
        <w:rPr>
          <w:rFonts w:hint="eastAsia" w:ascii="仿宋_GB2312" w:eastAsia="仿宋_GB2312" w:cs="仿宋_GB2312"/>
          <w:kern w:val="2"/>
          <w:sz w:val="32"/>
          <w:szCs w:val="32"/>
        </w:rPr>
      </w:pPr>
      <w:r>
        <w:rPr>
          <w:rFonts w:hint="eastAsia" w:ascii="仿宋_GB2312" w:hAnsi="Calibri" w:eastAsia="仿宋_GB2312" w:cs="仿宋_GB2312"/>
          <w:b/>
          <w:bCs/>
          <w:kern w:val="2"/>
          <w:sz w:val="32"/>
          <w:szCs w:val="32"/>
          <w:lang w:val="en-US" w:eastAsia="zh-CN" w:bidi="ar"/>
        </w:rPr>
        <w:t>2.选择适宜机具。</w:t>
      </w:r>
      <w:r>
        <w:rPr>
          <w:rFonts w:hint="eastAsia" w:ascii="仿宋_GB2312" w:hAnsi="Calibri" w:eastAsia="仿宋_GB2312" w:cs="仿宋_GB2312"/>
          <w:kern w:val="2"/>
          <w:sz w:val="32"/>
          <w:szCs w:val="32"/>
          <w:lang w:val="en-US" w:eastAsia="zh-CN" w:bidi="ar"/>
        </w:rPr>
        <w:t>应尽量选择能够一次完成起垄、播种、施肥、喷药、铺滴灌带、覆土、镇压等多道工序的复式播种机，所选拖拉机功率、轮距、机具作业幅宽应与地块大小、种植模式匹配。</w:t>
      </w:r>
    </w:p>
    <w:p w14:paraId="27A8DE8F">
      <w:pPr>
        <w:pStyle w:val="7"/>
        <w:keepNext w:val="0"/>
        <w:keepLines w:val="0"/>
        <w:widowControl w:val="0"/>
        <w:suppressLineNumbers w:val="0"/>
        <w:autoSpaceDE w:val="0"/>
        <w:autoSpaceDN/>
        <w:spacing w:before="0" w:beforeAutospacing="0" w:after="0" w:afterAutospacing="0" w:line="600" w:lineRule="exact"/>
        <w:ind w:left="0" w:right="0" w:firstLine="643" w:firstLineChars="200"/>
        <w:jc w:val="both"/>
        <w:rPr>
          <w:rFonts w:hint="eastAsia" w:ascii="仿宋_GB2312" w:eastAsia="仿宋_GB2312" w:cs="仿宋_GB2312"/>
          <w:kern w:val="2"/>
          <w:sz w:val="32"/>
          <w:szCs w:val="32"/>
        </w:rPr>
      </w:pPr>
      <w:r>
        <w:rPr>
          <w:rFonts w:hint="eastAsia" w:ascii="仿宋_GB2312" w:hAnsi="Calibri" w:eastAsia="仿宋_GB2312" w:cs="仿宋_GB2312"/>
          <w:b/>
          <w:bCs/>
          <w:kern w:val="2"/>
          <w:sz w:val="32"/>
          <w:szCs w:val="32"/>
          <w:lang w:val="en-US" w:eastAsia="zh-CN" w:bidi="ar"/>
        </w:rPr>
        <w:t>3.精准规范播种。</w:t>
      </w:r>
      <w:r>
        <w:rPr>
          <w:rFonts w:hint="eastAsia" w:ascii="仿宋_GB2312" w:hAnsi="Calibri" w:eastAsia="仿宋_GB2312" w:cs="仿宋_GB2312"/>
          <w:kern w:val="2"/>
          <w:sz w:val="32"/>
          <w:szCs w:val="32"/>
          <w:lang w:val="en-US" w:eastAsia="zh-CN" w:bidi="ar"/>
        </w:rPr>
        <w:t>根据品种特性、自然条件、栽培模式等因素，合理确定播期、播深和播种密度。前茬作物收获后及时足墒播种，墒情不足时，应先整地播种后造墒。适宜地区可采用夏花生免膜旋耕播种技术，即小麦收获后直接进行秸秆处理、旋耕灭茬、起垄、播种、施肥、覆土等作业。宜采用一垄两行种植模式，垄距75～85cm，垄高10～12cm，垄面宽50～55cm，垄上行距28cm左右，易发生涝害的地区增加垄高到15～20cm。宜采用双粒穴播，亩播10000～11000穴。单粒精播亩播15000～17000粒。浅播覆土，播种深度要控制在2～3cm，覆膜播种地块播行膜上覆土3～4cm，播后镇压。播种同步施种肥和喷施除草剂。施肥量一般亩施种肥10～15kg，施肥深度10～15cm，种肥间距不低于10cm，宜侧深施肥。除草剂喷施量按使用说明书确定，应均匀喷施，避免漏喷。</w:t>
      </w:r>
    </w:p>
    <w:p w14:paraId="1CC35D12">
      <w:pPr>
        <w:pStyle w:val="7"/>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黑体" w:hAnsi="宋体" w:eastAsia="黑体" w:cs="黑体"/>
          <w:kern w:val="2"/>
          <w:sz w:val="32"/>
          <w:szCs w:val="32"/>
        </w:rPr>
      </w:pPr>
      <w:r>
        <w:rPr>
          <w:rFonts w:hint="eastAsia" w:ascii="黑体" w:hAnsi="宋体" w:eastAsia="黑体" w:cs="黑体"/>
          <w:kern w:val="2"/>
          <w:sz w:val="32"/>
          <w:szCs w:val="32"/>
          <w:lang w:val="en-US" w:eastAsia="zh-CN" w:bidi="ar"/>
        </w:rPr>
        <w:t>五、春播马铃薯</w:t>
      </w:r>
    </w:p>
    <w:p w14:paraId="5490E974">
      <w:pPr>
        <w:pStyle w:val="7"/>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楷体_GB2312" w:hAnsi="Calibri" w:eastAsia="楷体_GB2312" w:cs="楷体_GB2312"/>
          <w:kern w:val="2"/>
          <w:sz w:val="32"/>
          <w:szCs w:val="32"/>
          <w:lang w:val="en-US" w:eastAsia="zh-CN" w:bidi="ar"/>
        </w:rPr>
        <w:t>（一）田间管理。</w:t>
      </w:r>
      <w:r>
        <w:rPr>
          <w:rFonts w:hint="eastAsia" w:ascii="仿宋_GB2312" w:hAnsi="Calibri" w:eastAsia="仿宋_GB2312" w:cs="仿宋_GB2312"/>
          <w:kern w:val="2"/>
          <w:sz w:val="32"/>
          <w:szCs w:val="32"/>
          <w:lang w:val="en-US" w:eastAsia="zh-CN" w:bidi="ar"/>
        </w:rPr>
        <w:t>病虫草害方面，根据当地马铃薯发生规律，按植保要求选用药剂及用量，按照机械化高效植保技术操作规程进行防治作业。中后期病虫害防治，宜采用植保无人机或高地隙喷药机械进行作业，提高喷施药剂的对靶性和利用率。灌溉方面，有条件的地区，可采用喷灌、膜下滴灌、垄作沟灌等高效节水灌溉技术和装备，按马铃薯需水、需肥规律，适时灌溉施肥，提倡应用一体化技术。</w:t>
      </w:r>
    </w:p>
    <w:p w14:paraId="511A5C27">
      <w:pPr>
        <w:pStyle w:val="7"/>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楷体_GB2312" w:hAnsi="Calibri" w:eastAsia="楷体_GB2312" w:cs="楷体_GB2312"/>
          <w:kern w:val="2"/>
          <w:sz w:val="32"/>
          <w:szCs w:val="32"/>
          <w:lang w:val="en-US" w:eastAsia="zh-CN" w:bidi="ar"/>
        </w:rPr>
        <w:t>（二）适期收获。</w:t>
      </w:r>
      <w:r>
        <w:rPr>
          <w:rFonts w:hint="eastAsia" w:ascii="仿宋_GB2312" w:hAnsi="Calibri" w:eastAsia="仿宋_GB2312" w:cs="仿宋_GB2312"/>
          <w:kern w:val="2"/>
          <w:sz w:val="32"/>
          <w:szCs w:val="32"/>
          <w:lang w:val="en-US" w:eastAsia="zh-CN" w:bidi="ar"/>
        </w:rPr>
        <w:t>在马铃薯机械收获前7～10天进行杀秧。根据地块大小和马铃薯品种，选择合适的杀秧机和收获机。马铃薯收获机的选型应适合当地土壤类型、黏重程度和作业要求。在丘陵山区宜采用小型振动式马铃薯收获机，可防堵塞并降低石块导致的机械故障率，减小机组作业转弯半径。应根据马铃薯成熟度适时进行收获，机械化收获马铃薯应先除去茎叶和杂草，尽可能实现秸秆还田，提高作业效率，培肥地力。</w:t>
      </w:r>
    </w:p>
    <w:p w14:paraId="678D3179">
      <w:pPr>
        <w:pStyle w:val="7"/>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楷体_GB2312" w:hAnsi="Calibri" w:eastAsia="楷体_GB2312" w:cs="楷体_GB2312"/>
          <w:kern w:val="2"/>
          <w:sz w:val="32"/>
          <w:szCs w:val="32"/>
          <w:lang w:val="en-US" w:eastAsia="zh-CN" w:bidi="ar"/>
        </w:rPr>
        <w:t>（三）质量要求。</w:t>
      </w:r>
      <w:r>
        <w:rPr>
          <w:rFonts w:hint="eastAsia" w:ascii="仿宋_GB2312" w:hAnsi="Calibri" w:eastAsia="仿宋_GB2312" w:cs="仿宋_GB2312"/>
          <w:kern w:val="2"/>
          <w:sz w:val="32"/>
          <w:szCs w:val="32"/>
          <w:lang w:val="en-US" w:eastAsia="zh-CN" w:bidi="ar"/>
        </w:rPr>
        <w:t>马铃薯杀秧机应采用横轴立刀式，作业质量应符合NY/T 2706-2015《马铃薯打秧机 质量评价技术规范》要求：茎叶打碎长度合格率≥80%，漏打率≤8%，伤薯率≤1%。马铃薯收获作业质量应符合NY/T 648-2015《马铃薯收获机 质量评价技术规范》要求：挖掘收获，损失率≤4%，伤薯率≤1.5%，破皮率≤2%；联合收获，损失率≤4%，伤薯率≤2%，破皮率≤3%，含杂率≤4%。</w:t>
      </w:r>
    </w:p>
    <w:p w14:paraId="2A0C565E">
      <w:pPr>
        <w:pStyle w:val="7"/>
        <w:keepNext w:val="0"/>
        <w:keepLines w:val="0"/>
        <w:widowControl w:val="0"/>
        <w:numPr>
          <w:ilvl w:val="0"/>
          <w:numId w:val="0"/>
        </w:numPr>
        <w:suppressLineNumbers w:val="0"/>
        <w:autoSpaceDE w:val="0"/>
        <w:autoSpaceDN/>
        <w:spacing w:before="0" w:beforeAutospacing="0" w:after="0" w:afterAutospacing="0" w:line="600" w:lineRule="exact"/>
        <w:ind w:left="0" w:right="0" w:firstLine="640" w:firstLineChars="200"/>
        <w:jc w:val="both"/>
        <w:rPr>
          <w:rFonts w:hint="eastAsia" w:ascii="黑体" w:hAnsi="宋体" w:eastAsia="黑体" w:cs="黑体"/>
          <w:kern w:val="2"/>
          <w:sz w:val="32"/>
          <w:szCs w:val="32"/>
        </w:rPr>
      </w:pPr>
      <w:r>
        <w:rPr>
          <w:rFonts w:hint="eastAsia" w:ascii="黑体" w:hAnsi="宋体" w:eastAsia="黑体" w:cs="黑体"/>
          <w:kern w:val="2"/>
          <w:sz w:val="32"/>
          <w:szCs w:val="32"/>
          <w:lang w:val="en-US" w:eastAsia="zh-CN" w:bidi="ar-SA"/>
        </w:rPr>
        <w:t>六、</w:t>
      </w:r>
      <w:r>
        <w:rPr>
          <w:rFonts w:hint="eastAsia" w:ascii="黑体" w:hAnsi="宋体" w:eastAsia="黑体" w:cs="黑体"/>
          <w:kern w:val="2"/>
          <w:sz w:val="32"/>
          <w:szCs w:val="32"/>
          <w:lang w:val="en-US" w:eastAsia="zh-CN" w:bidi="ar"/>
        </w:rPr>
        <w:t>棉花</w:t>
      </w:r>
    </w:p>
    <w:p w14:paraId="3C9784AC">
      <w:pPr>
        <w:pStyle w:val="7"/>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楷体_GB2312" w:hAnsi="Calibri" w:eastAsia="楷体_GB2312" w:cs="楷体_GB2312"/>
          <w:kern w:val="2"/>
          <w:sz w:val="32"/>
          <w:szCs w:val="32"/>
          <w:lang w:val="en-US" w:eastAsia="zh-CN" w:bidi="ar"/>
        </w:rPr>
        <w:t>（一）中耕除草。</w:t>
      </w:r>
      <w:r>
        <w:rPr>
          <w:rFonts w:hint="eastAsia" w:ascii="仿宋_GB2312" w:hAnsi="Calibri" w:eastAsia="仿宋_GB2312" w:cs="仿宋_GB2312"/>
          <w:kern w:val="2"/>
          <w:sz w:val="32"/>
          <w:szCs w:val="32"/>
          <w:lang w:val="en-US" w:eastAsia="zh-CN" w:bidi="ar"/>
        </w:rPr>
        <w:t>蕾期中耕要深，深度一般在10cm左右。作业时可选择锄铲式中耕机按照播种时的行走路线进地，采用梭行式中耕法进行中耕、除草作业。锄铲式中耕机除草范围要有2～3cm的重叠量，锄铲外缘与苗间应留出10～15cm的护苗带，作业时悬挂机构应处于浮动位置，作业速度不超过6km/h，草多、板结地块不超过4km/h。</w:t>
      </w:r>
    </w:p>
    <w:p w14:paraId="6A7C7299">
      <w:pPr>
        <w:pStyle w:val="7"/>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楷体_GB2312" w:hAnsi="Calibri" w:eastAsia="楷体_GB2312" w:cs="楷体_GB2312"/>
          <w:kern w:val="2"/>
          <w:sz w:val="32"/>
          <w:szCs w:val="32"/>
          <w:lang w:val="en-US" w:eastAsia="zh-CN" w:bidi="ar"/>
        </w:rPr>
        <w:t>（二）水肥管理。</w:t>
      </w:r>
      <w:r>
        <w:rPr>
          <w:rFonts w:hint="eastAsia" w:ascii="仿宋_GB2312" w:hAnsi="Calibri" w:eastAsia="仿宋_GB2312" w:cs="仿宋_GB2312"/>
          <w:kern w:val="2"/>
          <w:sz w:val="32"/>
          <w:szCs w:val="32"/>
          <w:lang w:val="en-US" w:eastAsia="zh-CN" w:bidi="ar"/>
        </w:rPr>
        <w:t>棉花生育期间的水肥管理，应依据各生育时期需水需肥规律、土壤水肥状况和棉株形态特征灵活进行水肥运筹管理。</w:t>
      </w:r>
    </w:p>
    <w:p w14:paraId="310FAF5C">
      <w:pPr>
        <w:pStyle w:val="7"/>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楷体_GB2312" w:hAnsi="Calibri" w:eastAsia="楷体_GB2312" w:cs="楷体_GB2312"/>
          <w:kern w:val="2"/>
          <w:sz w:val="32"/>
          <w:szCs w:val="32"/>
          <w:lang w:val="en-US" w:eastAsia="zh-CN" w:bidi="ar"/>
        </w:rPr>
        <w:t>（三）植保化控。</w:t>
      </w:r>
      <w:r>
        <w:rPr>
          <w:rFonts w:hint="eastAsia" w:ascii="仿宋_GB2312" w:hAnsi="Calibri" w:eastAsia="仿宋_GB2312" w:cs="仿宋_GB2312"/>
          <w:kern w:val="2"/>
          <w:sz w:val="32"/>
          <w:szCs w:val="32"/>
          <w:lang w:val="en-US" w:eastAsia="zh-CN" w:bidi="ar"/>
        </w:rPr>
        <w:t>应根据病虫草害的危害程度、抗药性和作物生长状况来选择适宜的农药品种，并根据喷药量确定喷头类型、孔径、工作压力，正确调整植保机械喷头的角度、喷杆末端工作压力，确定施药方法。宜选择风速≤3m/s、天气晴朗、温度适宜时，开展植保作业。化控应掌握“少量多次、轻控勤控、前轻后重”的原则，确保棉株“壮而不旺、稳健生长”。如果棉花长势弱或者旱情严重，可推迟和减少化控次数，甚至不化控。</w:t>
      </w:r>
    </w:p>
    <w:p w14:paraId="63FD1323">
      <w:pPr>
        <w:pStyle w:val="7"/>
        <w:keepNext w:val="0"/>
        <w:keepLines w:val="0"/>
        <w:widowControl w:val="0"/>
        <w:suppressLineNumbers w:val="0"/>
        <w:autoSpaceDE w:val="0"/>
        <w:autoSpaceDN/>
        <w:spacing w:before="0" w:beforeAutospacing="0" w:after="0" w:afterAutospacing="0" w:line="600" w:lineRule="exact"/>
        <w:ind w:left="0" w:right="0" w:firstLine="640" w:firstLineChars="200"/>
        <w:jc w:val="both"/>
        <w:rPr>
          <w:rFonts w:hint="eastAsia" w:ascii="仿宋_GB2312" w:eastAsia="仿宋_GB2312" w:cs="仿宋_GB2312"/>
          <w:kern w:val="2"/>
          <w:sz w:val="32"/>
          <w:szCs w:val="32"/>
        </w:rPr>
      </w:pPr>
      <w:r>
        <w:rPr>
          <w:rFonts w:hint="eastAsia" w:ascii="楷体_GB2312" w:hAnsi="Calibri" w:eastAsia="楷体_GB2312" w:cs="楷体_GB2312"/>
          <w:kern w:val="2"/>
          <w:sz w:val="32"/>
          <w:szCs w:val="32"/>
          <w:lang w:val="en-US" w:eastAsia="zh-CN" w:bidi="ar"/>
        </w:rPr>
        <w:t>（四）应急排涝。</w:t>
      </w:r>
      <w:r>
        <w:rPr>
          <w:rFonts w:hint="eastAsia" w:ascii="仿宋_GB2312" w:hAnsi="Calibri" w:eastAsia="仿宋_GB2312" w:cs="仿宋_GB2312"/>
          <w:kern w:val="2"/>
          <w:sz w:val="32"/>
          <w:szCs w:val="32"/>
          <w:lang w:val="en-US" w:eastAsia="zh-CN" w:bidi="ar"/>
        </w:rPr>
        <w:t>如遇大范围、持续性降雨导致田间严重积水，可调配120马力以上拖拉机搭载大型轴流泵开展排涝作业。</w:t>
      </w:r>
    </w:p>
    <w:p w14:paraId="39270F0F">
      <w:pPr>
        <w:pStyle w:val="7"/>
      </w:pPr>
    </w:p>
    <w:p w14:paraId="3777D111">
      <w:pPr>
        <w:pStyle w:val="10"/>
      </w:pPr>
    </w:p>
    <w:p w14:paraId="0A9C5005">
      <w:pPr>
        <w:pStyle w:val="10"/>
      </w:pPr>
    </w:p>
    <w:p w14:paraId="0A3EBD3F">
      <w:pPr>
        <w:pStyle w:val="10"/>
      </w:pPr>
      <w:bookmarkStart w:id="0" w:name="_GoBack"/>
      <w:bookmarkEnd w:id="0"/>
    </w:p>
    <w:sectPr>
      <w:footerReference r:id="rId5" w:type="first"/>
      <w:footerReference r:id="rId3" w:type="default"/>
      <w:footerReference r:id="rId4" w:type="even"/>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黑体"/>
    <w:panose1 w:val="02000000000000000000"/>
    <w:charset w:val="86"/>
    <w:family w:val="script"/>
    <w:pitch w:val="default"/>
    <w:sig w:usb0="00000000" w:usb1="00000000" w:usb2="00000012"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439EEF50">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FF78AF">
    <w:pPr>
      <w:pStyle w:val="2"/>
      <w:framePr w:wrap="around" w:vAnchor="text" w:hAnchor="margin" w:xAlign="center" w:y="1"/>
      <w:rPr>
        <w:rStyle w:val="6"/>
      </w:rPr>
    </w:pPr>
    <w:r>
      <w:rPr>
        <w:rStyle w:val="6"/>
      </w:rPr>
      <w:fldChar w:fldCharType="begin"/>
    </w:r>
    <w:r>
      <w:rPr>
        <w:rStyle w:val="6"/>
      </w:rPr>
      <w:instrText xml:space="preserve">PAGE  </w:instrText>
    </w:r>
    <w:r>
      <w:rPr>
        <w:rStyle w:val="6"/>
      </w:rPr>
      <w:fldChar w:fldCharType="separate"/>
    </w:r>
    <w:r>
      <w:rPr>
        <w:rStyle w:val="6"/>
      </w:rPr>
      <w:t>2</w:t>
    </w:r>
    <w:r>
      <w:rPr>
        <w:rStyle w:val="6"/>
      </w:rPr>
      <w:fldChar w:fldCharType="end"/>
    </w:r>
  </w:p>
  <w:p w14:paraId="0ECE891D">
    <w:pPr>
      <w:pStyle w:val="2"/>
      <w:jc w:val="right"/>
    </w:pPr>
    <w:r>
      <w:rPr>
        <w:rFonts w:hint="eastAsia"/>
      </w:rPr>
      <w:t>山东省农业农村厅电子公文</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75A293">
    <w:pPr>
      <w:pStyle w:val="2"/>
      <w:framePr w:wrap="around" w:vAnchor="text" w:hAnchor="margin" w:xAlign="center" w:y="1"/>
      <w:rPr>
        <w:rStyle w:val="6"/>
      </w:rPr>
    </w:pPr>
    <w:r>
      <w:rPr>
        <w:rStyle w:val="6"/>
      </w:rPr>
      <w:fldChar w:fldCharType="begin"/>
    </w:r>
    <w:r>
      <w:rPr>
        <w:rStyle w:val="6"/>
      </w:rPr>
      <w:instrText xml:space="preserve">PAGE  </w:instrText>
    </w:r>
    <w:r>
      <w:rPr>
        <w:rStyle w:val="6"/>
      </w:rPr>
      <w:fldChar w:fldCharType="end"/>
    </w:r>
  </w:p>
  <w:p w14:paraId="4D377022">
    <w:pPr>
      <w:pStyle w:val="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05EF02">
    <w:pPr>
      <w:pStyle w:val="2"/>
      <w:framePr w:wrap="around" w:vAnchor="text" w:hAnchor="margin" w:xAlign="center" w:y="1"/>
      <w:rPr>
        <w:rStyle w:val="6"/>
      </w:rPr>
    </w:pPr>
    <w:r>
      <w:rPr>
        <w:rStyle w:val="6"/>
      </w:rPr>
      <w:fldChar w:fldCharType="begin"/>
    </w:r>
    <w:r>
      <w:rPr>
        <w:rStyle w:val="6"/>
      </w:rPr>
      <w:instrText xml:space="preserve">PAGE  </w:instrText>
    </w:r>
    <w:r>
      <w:rPr>
        <w:rStyle w:val="6"/>
      </w:rPr>
      <w:fldChar w:fldCharType="separate"/>
    </w:r>
    <w:r>
      <w:rPr>
        <w:rStyle w:val="6"/>
      </w:rPr>
      <w:t>1</w:t>
    </w:r>
    <w:r>
      <w:rPr>
        <w:rStyle w:val="6"/>
      </w:rPr>
      <w:fldChar w:fldCharType="end"/>
    </w:r>
  </w:p>
  <w:p w14:paraId="199483F5">
    <w:pPr>
      <w:pStyle w:val="2"/>
      <w:wordWrap w:val="0"/>
      <w:jc w:val="right"/>
    </w:pPr>
    <w:r>
      <w:rPr>
        <w:rFonts w:hint="eastAsia"/>
      </w:rPr>
      <w:t xml:space="preserve">                                                               山东省农业农村厅电子公文 </w:t>
    </w:r>
  </w:p>
  <w:p w14:paraId="059F8717">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U5YWIwZTAyMDQ2OTc1ZjY0YWQ4N2Q1NTIwZmY4NDMifQ=="/>
  </w:docVars>
  <w:rsids>
    <w:rsidRoot w:val="008D5BC2"/>
    <w:rsid w:val="00017F71"/>
    <w:rsid w:val="000400A6"/>
    <w:rsid w:val="00050494"/>
    <w:rsid w:val="00050616"/>
    <w:rsid w:val="00066444"/>
    <w:rsid w:val="000C2CBF"/>
    <w:rsid w:val="000E2763"/>
    <w:rsid w:val="002D3635"/>
    <w:rsid w:val="00305AFF"/>
    <w:rsid w:val="00335139"/>
    <w:rsid w:val="003554ED"/>
    <w:rsid w:val="003C11CC"/>
    <w:rsid w:val="003E73D7"/>
    <w:rsid w:val="0041235A"/>
    <w:rsid w:val="004665F4"/>
    <w:rsid w:val="004A6296"/>
    <w:rsid w:val="0050403B"/>
    <w:rsid w:val="005850F2"/>
    <w:rsid w:val="005951CC"/>
    <w:rsid w:val="005C122B"/>
    <w:rsid w:val="006362A9"/>
    <w:rsid w:val="006439FE"/>
    <w:rsid w:val="006536A4"/>
    <w:rsid w:val="00665EC0"/>
    <w:rsid w:val="00670935"/>
    <w:rsid w:val="006D63EC"/>
    <w:rsid w:val="0071584A"/>
    <w:rsid w:val="007A5194"/>
    <w:rsid w:val="007A5F21"/>
    <w:rsid w:val="00802514"/>
    <w:rsid w:val="00891999"/>
    <w:rsid w:val="008A3F13"/>
    <w:rsid w:val="008B5290"/>
    <w:rsid w:val="008D0684"/>
    <w:rsid w:val="008D5BC2"/>
    <w:rsid w:val="009229E8"/>
    <w:rsid w:val="00962EE1"/>
    <w:rsid w:val="009803A7"/>
    <w:rsid w:val="00A1110F"/>
    <w:rsid w:val="00B47662"/>
    <w:rsid w:val="00B863EB"/>
    <w:rsid w:val="00B95250"/>
    <w:rsid w:val="00BF48B3"/>
    <w:rsid w:val="00C01E34"/>
    <w:rsid w:val="00C92CBA"/>
    <w:rsid w:val="00D0724C"/>
    <w:rsid w:val="00D12DCB"/>
    <w:rsid w:val="00D62D05"/>
    <w:rsid w:val="00D92136"/>
    <w:rsid w:val="00DB7266"/>
    <w:rsid w:val="00DC1313"/>
    <w:rsid w:val="00DE4618"/>
    <w:rsid w:val="00DE5EC5"/>
    <w:rsid w:val="00DF6559"/>
    <w:rsid w:val="00E103FF"/>
    <w:rsid w:val="00E34527"/>
    <w:rsid w:val="00F1413B"/>
    <w:rsid w:val="00F271B5"/>
    <w:rsid w:val="00F36EAB"/>
    <w:rsid w:val="00F6498F"/>
    <w:rsid w:val="00F82CA7"/>
    <w:rsid w:val="00F862A1"/>
    <w:rsid w:val="00F90343"/>
    <w:rsid w:val="00FF06FF"/>
    <w:rsid w:val="00FF134D"/>
    <w:rsid w:val="15F70A8B"/>
    <w:rsid w:val="1D4208DB"/>
    <w:rsid w:val="23B82AB2"/>
    <w:rsid w:val="28923CB0"/>
    <w:rsid w:val="5484532D"/>
    <w:rsid w:val="54A81341"/>
    <w:rsid w:val="6F480797"/>
    <w:rsid w:val="77B038DE"/>
    <w:rsid w:val="7CC6052D"/>
    <w:rsid w:val="7EFF8608"/>
    <w:rsid w:val="7FD466B0"/>
    <w:rsid w:val="BD67AFCD"/>
    <w:rsid w:val="FDFF95D7"/>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nhideWhenUsed/>
    <w:qFormat/>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szCs w:val="18"/>
    </w:rPr>
  </w:style>
  <w:style w:type="paragraph" w:styleId="3">
    <w:name w:val="header"/>
    <w:basedOn w:val="1"/>
    <w:qFormat/>
    <w:uiPriority w:val="0"/>
    <w:pPr>
      <w:pBdr>
        <w:bottom w:val="single" w:color="auto" w:sz="6" w:space="1"/>
      </w:pBdr>
      <w:tabs>
        <w:tab w:val="center" w:pos="4153"/>
        <w:tab w:val="right" w:pos="8306"/>
      </w:tabs>
      <w:snapToGrid w:val="0"/>
      <w:jc w:val="center"/>
    </w:pPr>
    <w:rPr>
      <w:sz w:val="18"/>
      <w:szCs w:val="18"/>
    </w:rPr>
  </w:style>
  <w:style w:type="character" w:styleId="6">
    <w:name w:val="page number"/>
    <w:basedOn w:val="5"/>
    <w:qFormat/>
    <w:uiPriority w:val="0"/>
  </w:style>
  <w:style w:type="paragraph" w:customStyle="1" w:styleId="7">
    <w:name w:val="NormalNormal"/>
    <w:qFormat/>
    <w:uiPriority w:val="0"/>
    <w:pPr>
      <w:widowControl w:val="0"/>
      <w:jc w:val="both"/>
    </w:pPr>
    <w:rPr>
      <w:rFonts w:ascii="Calibri" w:hAnsi="Calibri" w:eastAsia="宋体" w:cs="Times New Roman"/>
      <w:kern w:val="2"/>
      <w:sz w:val="21"/>
      <w:szCs w:val="24"/>
      <w:lang w:val="en-US" w:eastAsia="zh-CN" w:bidi="ar-SA"/>
    </w:rPr>
  </w:style>
  <w:style w:type="character" w:customStyle="1" w:styleId="8">
    <w:name w:val="Default Paragraph FontDefaultParagraphFont"/>
    <w:semiHidden/>
    <w:qFormat/>
    <w:uiPriority w:val="0"/>
  </w:style>
  <w:style w:type="table" w:customStyle="1" w:styleId="9">
    <w:name w:val="Normal TableTableNormal"/>
    <w:semiHidden/>
    <w:qFormat/>
    <w:uiPriority w:val="0"/>
    <w:tblPr>
      <w:tblCellMar>
        <w:top w:w="0" w:type="dxa"/>
        <w:left w:w="108" w:type="dxa"/>
        <w:bottom w:w="0" w:type="dxa"/>
        <w:right w:w="108" w:type="dxa"/>
      </w:tblCellMar>
    </w:tblPr>
  </w:style>
  <w:style w:type="paragraph" w:customStyle="1" w:styleId="10">
    <w:name w:val="Normala"/>
    <w:qFormat/>
    <w:uiPriority w:val="0"/>
    <w:pPr>
      <w:widowControl w:val="0"/>
      <w:jc w:val="both"/>
    </w:pPr>
    <w:rPr>
      <w:rFonts w:ascii="Times New Roman" w:hAnsi="Times New Roman" w:eastAsia="宋体" w:cs="Times New Roman"/>
      <w:kern w:val="2"/>
      <w:sz w:val="21"/>
      <w:szCs w:val="24"/>
    </w:rPr>
  </w:style>
  <w:style w:type="character" w:customStyle="1" w:styleId="11">
    <w:name w:val="Default Paragraph Fonta0"/>
    <w:semiHidden/>
    <w:unhideWhenUsed/>
    <w:uiPriority w:val="1"/>
  </w:style>
  <w:style w:type="table" w:customStyle="1" w:styleId="12">
    <w:name w:val="Normal Tablea1"/>
    <w:semiHidden/>
    <w:unhideWhenUsed/>
    <w:uiPriority w:val="99"/>
    <w:tblPr>
      <w:tblCellMar>
        <w:top w:w="0" w:type="dxa"/>
        <w:left w:w="108" w:type="dxa"/>
        <w:bottom w:w="0" w:type="dxa"/>
        <w:right w:w="108" w:type="dxa"/>
      </w:tblCellMar>
    </w:tblPr>
  </w:style>
  <w:style w:type="table" w:customStyle="1" w:styleId="13">
    <w:name w:val="Table Grida3"/>
    <w:basedOn w:val="12"/>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4">
    <w:name w:val="headera4"/>
    <w:basedOn w:val="10"/>
    <w:uiPriority w:val="0"/>
    <w:pPr>
      <w:pBdr>
        <w:bottom w:val="single" w:color="auto" w:sz="6" w:space="1"/>
      </w:pBdr>
      <w:tabs>
        <w:tab w:val="center" w:pos="4153"/>
        <w:tab w:val="right" w:pos="8306"/>
      </w:tabs>
      <w:snapToGrid w:val="0"/>
      <w:jc w:val="center"/>
    </w:pPr>
    <w:rPr>
      <w:sz w:val="18"/>
      <w:szCs w:val="18"/>
    </w:rPr>
  </w:style>
  <w:style w:type="paragraph" w:customStyle="1" w:styleId="15">
    <w:name w:val="footera5"/>
    <w:basedOn w:val="10"/>
    <w:uiPriority w:val="0"/>
    <w:pPr>
      <w:tabs>
        <w:tab w:val="center" w:pos="4153"/>
        <w:tab w:val="right" w:pos="8306"/>
      </w:tabs>
      <w:snapToGrid w:val="0"/>
      <w:jc w:val="left"/>
    </w:pPr>
    <w:rPr>
      <w:sz w:val="18"/>
      <w:szCs w:val="18"/>
    </w:rPr>
  </w:style>
  <w:style w:type="paragraph" w:customStyle="1" w:styleId="16">
    <w:name w:val="footnote texta6"/>
    <w:basedOn w:val="10"/>
    <w:semiHidden/>
    <w:uiPriority w:val="0"/>
    <w:pPr>
      <w:snapToGrid w:val="0"/>
      <w:jc w:val="left"/>
    </w:pPr>
    <w:rPr>
      <w:sz w:val="18"/>
      <w:szCs w:val="18"/>
    </w:rPr>
  </w:style>
  <w:style w:type="character" w:customStyle="1" w:styleId="17">
    <w:name w:val="footnote referencea7"/>
    <w:basedOn w:val="11"/>
    <w:semiHidden/>
    <w:uiPriority w:val="0"/>
    <w:rPr>
      <w:vertAlign w:val="superscript"/>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Company>GentleSoft</Company>
  <Pages>9</Pages>
  <Words>4552</Words>
  <Characters>4894</Characters>
  <Lines>1</Lines>
  <Paragraphs>1</Paragraphs>
  <TotalTime>1</TotalTime>
  <ScaleCrop>false</ScaleCrop>
  <LinksUpToDate>false</LinksUpToDate>
  <CharactersWithSpaces>4942</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2008-05-14T01:03:00Z</dcterms:created>
  <dc:creator>gentle</dc:creator>
  <cp:lastModifiedBy>韩雪梅</cp:lastModifiedBy>
  <dcterms:modified xsi:type="dcterms:W3CDTF">2026-05-14T06:49:30Z</dcterms:modified>
  <dc:title>山东省农业厅发文红头</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5886AA509FDCBB5E6065056ACA7222B8_43</vt:lpwstr>
  </property>
  <property fmtid="{D5CDD505-2E9C-101B-9397-08002B2CF9AE}" pid="4" name="KSOTemplateDocerSaveRecord">
    <vt:lpwstr>eyJoZGlkIjoiYmMyNGExNmIyYjc0OGQ1ODE3MTQ0MDQ2OTZjYmQxOWUiLCJ1c2VySWQiOiIxNDg0NTk5MTU2In0=</vt:lpwstr>
  </property>
</Properties>
</file>