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D1A27">
      <w:pPr>
        <w:widowControl/>
        <w:spacing w:after="0" w:line="560" w:lineRule="exact"/>
        <w:jc w:val="left"/>
        <w:rPr>
          <w:rFonts w:hint="eastAsia" w:ascii="黑体" w:hAnsi="黑体" w:eastAsia="黑体" w:cs="黑体"/>
          <w:sz w:val="32"/>
          <w:szCs w:val="32"/>
        </w:rPr>
      </w:pPr>
      <w:r>
        <w:rPr>
          <w:rFonts w:hint="eastAsia" w:ascii="黑体" w:hAnsi="黑体" w:eastAsia="黑体" w:cs="黑体"/>
          <w:sz w:val="32"/>
          <w:szCs w:val="32"/>
        </w:rPr>
        <w:t>附件3</w:t>
      </w:r>
    </w:p>
    <w:p w14:paraId="26F0F69A">
      <w:pPr>
        <w:widowControl/>
        <w:spacing w:after="0" w:line="560" w:lineRule="exact"/>
        <w:jc w:val="left"/>
        <w:rPr>
          <w:rFonts w:ascii="Times New Roman" w:hAnsi="Times New Roman" w:eastAsia="方正黑体_GBK"/>
          <w:sz w:val="32"/>
          <w:szCs w:val="32"/>
        </w:rPr>
      </w:pPr>
    </w:p>
    <w:p w14:paraId="4D8EA2B4">
      <w:pPr>
        <w:widowControl/>
        <w:spacing w:after="0" w:line="620" w:lineRule="exact"/>
        <w:jc w:val="center"/>
        <w:rPr>
          <w:rFonts w:ascii="方正小标宋简体" w:hAnsi="Times New Roman" w:eastAsia="方正小标宋简体"/>
          <w:szCs w:val="24"/>
        </w:rPr>
      </w:pPr>
      <w:bookmarkStart w:id="0" w:name="_Hlk190880408"/>
      <w:r>
        <w:rPr>
          <w:rFonts w:hint="eastAsia" w:ascii="方正小标宋简体" w:hAnsi="Times New Roman" w:eastAsia="方正小标宋简体"/>
          <w:sz w:val="44"/>
          <w:szCs w:val="44"/>
        </w:rPr>
        <w:t>补短板200马力及以上混合动力电动无级变速辅助驾驶智控拖拉机安全性验证方案</w:t>
      </w:r>
      <w:bookmarkEnd w:id="0"/>
    </w:p>
    <w:p w14:paraId="7404A4C3">
      <w:pPr>
        <w:spacing w:after="0" w:line="620" w:lineRule="exact"/>
        <w:rPr>
          <w:rFonts w:ascii="Times New Roman" w:hAnsi="Times New Roman" w:eastAsia="方正仿宋_GBK"/>
          <w:sz w:val="32"/>
          <w:szCs w:val="40"/>
        </w:rPr>
      </w:pPr>
    </w:p>
    <w:p w14:paraId="7131B0B7">
      <w:pPr>
        <w:pStyle w:val="10"/>
        <w:numPr>
          <w:numId w:val="0"/>
        </w:numPr>
        <w:spacing w:after="0" w:line="620" w:lineRule="exact"/>
        <w:ind w:leftChars="0"/>
        <w:rPr>
          <w:rFonts w:ascii="Times New Roman" w:hAnsi="Times New Roman" w:eastAsia="黑体"/>
          <w:sz w:val="28"/>
          <w:szCs w:val="28"/>
        </w:rPr>
      </w:pPr>
      <w:r>
        <w:rPr>
          <w:rFonts w:hint="eastAsia" w:ascii="黑体" w:hAnsi="黑体" w:eastAsia="黑体" w:cs="黑体"/>
          <w:sz w:val="32"/>
          <w:szCs w:val="32"/>
          <w:lang w:val="en-US" w:eastAsia="zh-CN"/>
        </w:rPr>
        <w:t>1.</w:t>
      </w:r>
      <w:r>
        <w:rPr>
          <w:rFonts w:hint="eastAsia" w:ascii="黑体" w:hAnsi="黑体" w:eastAsia="黑体" w:cs="黑体"/>
          <w:sz w:val="32"/>
          <w:szCs w:val="32"/>
        </w:rPr>
        <w:t>范围</w:t>
      </w:r>
    </w:p>
    <w:p w14:paraId="1A5561A1">
      <w:pPr>
        <w:pStyle w:val="6"/>
        <w:autoSpaceDE/>
        <w:autoSpaceDN/>
        <w:spacing w:after="0" w:line="620" w:lineRule="exact"/>
        <w:ind w:firstLine="624"/>
        <w:rPr>
          <w:rFonts w:hint="eastAsia" w:ascii="仿宋_GB2312" w:hAnsi="仿宋" w:eastAsia="仿宋_GB2312" w:cs="仿宋"/>
          <w:sz w:val="32"/>
          <w:szCs w:val="32"/>
        </w:rPr>
      </w:pPr>
      <w:r>
        <w:rPr>
          <w:rFonts w:hint="eastAsia" w:ascii="仿宋_GB2312" w:hAnsi="仿宋" w:eastAsia="仿宋_GB2312" w:cs="仿宋"/>
          <w:sz w:val="32"/>
          <w:szCs w:val="32"/>
        </w:rPr>
        <w:t>本方案规定了补短板200马力及以上混合动力电动无级变速辅助驾驶智控拖拉机的安全性验证。</w:t>
      </w:r>
    </w:p>
    <w:p w14:paraId="588F2EC9">
      <w:pPr>
        <w:pStyle w:val="6"/>
        <w:autoSpaceDE/>
        <w:autoSpaceDN/>
        <w:spacing w:after="0" w:line="620" w:lineRule="exact"/>
        <w:ind w:firstLine="624"/>
        <w:rPr>
          <w:rFonts w:hint="eastAsia" w:ascii="仿宋_GB2312" w:hAnsi="仿宋" w:eastAsia="仿宋_GB2312" w:cs="仿宋"/>
          <w:sz w:val="32"/>
          <w:szCs w:val="32"/>
        </w:rPr>
      </w:pPr>
      <w:r>
        <w:rPr>
          <w:rFonts w:hint="eastAsia" w:ascii="仿宋_GB2312" w:hAnsi="仿宋" w:eastAsia="仿宋_GB2312" w:cs="仿宋"/>
          <w:sz w:val="32"/>
          <w:szCs w:val="32"/>
        </w:rPr>
        <w:t>本方案适用于补短板200马力及以上混合动力电动无级变速辅助驾驶智控拖拉机。混合动力电动拖拉机是指能够从可消耗的燃料中获得动力的电动拖拉机。</w:t>
      </w:r>
    </w:p>
    <w:p w14:paraId="0802B1EF">
      <w:pPr>
        <w:pStyle w:val="6"/>
        <w:autoSpaceDE/>
        <w:autoSpaceDN/>
        <w:spacing w:after="0" w:line="620" w:lineRule="exact"/>
        <w:ind w:firstLine="624"/>
        <w:rPr>
          <w:rFonts w:ascii="仿宋_GB2312" w:eastAsia="仿宋_GB2312"/>
          <w:sz w:val="32"/>
          <w:szCs w:val="32"/>
        </w:rPr>
      </w:pPr>
      <w:r>
        <w:rPr>
          <w:rFonts w:hint="eastAsia" w:ascii="仿宋_GB2312" w:hAnsi="仿宋" w:eastAsia="仿宋_GB2312" w:cs="仿宋"/>
          <w:sz w:val="32"/>
          <w:szCs w:val="32"/>
        </w:rPr>
        <w:t>本方案在农业农村部农业机械化管理司和农业农村部农业机械化总站的指导下，由山东省农业农村厅组织制定。</w:t>
      </w:r>
    </w:p>
    <w:p w14:paraId="6A70DA4A">
      <w:pPr>
        <w:pStyle w:val="10"/>
        <w:numPr>
          <w:numId w:val="0"/>
        </w:numPr>
        <w:spacing w:after="0" w:line="620" w:lineRule="exact"/>
        <w:ind w:leftChars="0"/>
        <w:rPr>
          <w:rFonts w:hint="eastAsia" w:ascii="黑体" w:hAnsi="黑体" w:eastAsia="黑体" w:cs="黑体"/>
          <w:sz w:val="32"/>
          <w:szCs w:val="32"/>
        </w:rPr>
      </w:pPr>
      <w:r>
        <w:rPr>
          <w:rFonts w:hint="eastAsia" w:ascii="黑体" w:hAnsi="黑体" w:eastAsia="黑体" w:cs="黑体"/>
          <w:sz w:val="32"/>
          <w:szCs w:val="32"/>
          <w:lang w:val="en-US" w:eastAsia="zh-CN"/>
        </w:rPr>
        <w:t>2.</w:t>
      </w:r>
      <w:r>
        <w:rPr>
          <w:rFonts w:hint="eastAsia" w:ascii="黑体" w:hAnsi="黑体" w:eastAsia="黑体" w:cs="黑体"/>
          <w:sz w:val="32"/>
          <w:szCs w:val="32"/>
        </w:rPr>
        <w:t>规范性引用文件</w:t>
      </w:r>
    </w:p>
    <w:p w14:paraId="06733921">
      <w:pPr>
        <w:pStyle w:val="6"/>
        <w:autoSpaceDE/>
        <w:autoSpaceDN/>
        <w:spacing w:after="0" w:line="620" w:lineRule="exact"/>
        <w:ind w:firstLine="624"/>
        <w:rPr>
          <w:rFonts w:hint="eastAsia" w:ascii="仿宋_GB2312" w:hAnsi="仿宋" w:eastAsia="仿宋_GB2312" w:cs="仿宋"/>
          <w:sz w:val="32"/>
          <w:szCs w:val="32"/>
        </w:rPr>
      </w:pPr>
      <w:r>
        <w:rPr>
          <w:rFonts w:hint="eastAsia" w:ascii="仿宋_GB2312" w:hAnsi="仿宋" w:eastAsia="仿宋_GB2312" w:cs="仿宋"/>
          <w:sz w:val="32"/>
          <w:szCs w:val="32"/>
        </w:rPr>
        <w:t>下列文件中的内容通过文中的规范性引用而构成本方案必不可少的条款。其中，注明日期的引用文件，仅该日期对应的版本适用于本方案。不注日期的引用文件，其最新版本（包括所有的修改单）适用于本方案。</w:t>
      </w:r>
    </w:p>
    <w:p w14:paraId="0D635E37">
      <w:pPr>
        <w:pStyle w:val="6"/>
        <w:autoSpaceDE/>
        <w:autoSpaceDN/>
        <w:spacing w:after="0" w:line="620" w:lineRule="exact"/>
        <w:ind w:firstLine="624"/>
        <w:rPr>
          <w:rFonts w:hint="eastAsia" w:ascii="仿宋_GB2312" w:hAnsi="仿宋" w:eastAsia="仿宋_GB2312" w:cs="仿宋"/>
          <w:sz w:val="32"/>
          <w:szCs w:val="32"/>
        </w:rPr>
      </w:pPr>
      <w:r>
        <w:rPr>
          <w:rFonts w:hint="eastAsia" w:ascii="仿宋_GB2312" w:hAnsi="仿宋" w:eastAsia="仿宋_GB2312" w:cs="仿宋"/>
          <w:sz w:val="32"/>
          <w:szCs w:val="32"/>
        </w:rPr>
        <w:t>GB 18384—2020 电动汽车安全要求</w:t>
      </w:r>
    </w:p>
    <w:p w14:paraId="38221270">
      <w:pPr>
        <w:pStyle w:val="6"/>
        <w:autoSpaceDE/>
        <w:autoSpaceDN/>
        <w:spacing w:after="0" w:line="620" w:lineRule="exact"/>
        <w:ind w:firstLine="624"/>
        <w:rPr>
          <w:rFonts w:hint="eastAsia" w:ascii="仿宋_GB2312" w:hAnsi="仿宋" w:eastAsia="仿宋_GB2312" w:cs="仿宋"/>
          <w:sz w:val="32"/>
          <w:szCs w:val="32"/>
        </w:rPr>
      </w:pPr>
      <w:r>
        <w:rPr>
          <w:rFonts w:hint="eastAsia" w:ascii="仿宋_GB2312" w:hAnsi="仿宋" w:eastAsia="仿宋_GB2312" w:cs="仿宋"/>
          <w:sz w:val="32"/>
          <w:szCs w:val="32"/>
        </w:rPr>
        <w:t>GB 18447.1—2008 拖拉机 安全要求 第1部分 轮式拖拉机</w:t>
      </w:r>
    </w:p>
    <w:p w14:paraId="0E2A1DD8">
      <w:pPr>
        <w:pStyle w:val="6"/>
        <w:autoSpaceDE/>
        <w:autoSpaceDN/>
        <w:spacing w:after="0" w:line="620" w:lineRule="exact"/>
        <w:ind w:firstLine="624"/>
        <w:rPr>
          <w:rFonts w:hint="eastAsia" w:ascii="仿宋_GB2312" w:hAnsi="仿宋" w:eastAsia="仿宋_GB2312" w:cs="仿宋"/>
          <w:sz w:val="32"/>
          <w:szCs w:val="32"/>
        </w:rPr>
      </w:pPr>
      <w:bookmarkStart w:id="1" w:name="_Hlk190880319"/>
      <w:r>
        <w:rPr>
          <w:rFonts w:hint="eastAsia" w:ascii="仿宋_GB2312" w:hAnsi="仿宋" w:eastAsia="仿宋_GB2312" w:cs="仿宋"/>
          <w:sz w:val="32"/>
          <w:szCs w:val="32"/>
        </w:rPr>
        <w:t>DG/T 001—2024 农业轮式和履带拖拉机</w:t>
      </w:r>
    </w:p>
    <w:bookmarkEnd w:id="1"/>
    <w:p w14:paraId="379183EB">
      <w:pPr>
        <w:pStyle w:val="10"/>
        <w:numPr>
          <w:numId w:val="0"/>
        </w:numPr>
        <w:spacing w:after="0" w:line="620" w:lineRule="exact"/>
        <w:ind w:leftChars="0"/>
        <w:rPr>
          <w:rFonts w:hint="eastAsia" w:ascii="黑体" w:hAnsi="黑体" w:eastAsia="黑体" w:cs="黑体"/>
          <w:sz w:val="32"/>
          <w:szCs w:val="32"/>
        </w:rPr>
      </w:pPr>
      <w:bookmarkStart w:id="2" w:name="_Hlk190880423"/>
      <w:r>
        <w:rPr>
          <w:rFonts w:hint="eastAsia" w:ascii="黑体" w:hAnsi="黑体" w:eastAsia="黑体" w:cs="黑体"/>
          <w:sz w:val="32"/>
          <w:szCs w:val="32"/>
          <w:lang w:val="en-US" w:eastAsia="zh-CN"/>
        </w:rPr>
        <w:t>3.</w:t>
      </w:r>
      <w:r>
        <w:rPr>
          <w:rFonts w:hint="eastAsia" w:ascii="黑体" w:hAnsi="黑体" w:eastAsia="黑体" w:cs="黑体"/>
          <w:sz w:val="32"/>
          <w:szCs w:val="32"/>
        </w:rPr>
        <w:t>验证项目</w:t>
      </w:r>
    </w:p>
    <w:p w14:paraId="647E9BEC">
      <w:pPr>
        <w:pStyle w:val="6"/>
        <w:autoSpaceDE/>
        <w:autoSpaceDN/>
        <w:spacing w:after="0" w:line="620" w:lineRule="exact"/>
        <w:ind w:firstLine="624"/>
        <w:rPr>
          <w:rFonts w:ascii="仿宋_GB2312" w:eastAsia="仿宋_GB2312"/>
          <w:sz w:val="32"/>
          <w:szCs w:val="32"/>
        </w:rPr>
      </w:pPr>
      <w:r>
        <w:rPr>
          <w:rFonts w:hint="eastAsia" w:ascii="仿宋_GB2312" w:hAnsi="仿宋" w:eastAsia="仿宋_GB2312" w:cs="仿宋"/>
          <w:sz w:val="32"/>
          <w:szCs w:val="32"/>
        </w:rPr>
        <w:t>安全要求、安全防护、安全性能、照明信号装置、安全使用信息等。</w:t>
      </w:r>
    </w:p>
    <w:p w14:paraId="6830867F">
      <w:pPr>
        <w:spacing w:after="0" w:line="620" w:lineRule="exact"/>
        <w:rPr>
          <w:rFonts w:hint="eastAsia" w:ascii="黑体" w:hAnsi="黑体" w:eastAsia="黑体" w:cs="黑体"/>
          <w:sz w:val="32"/>
          <w:szCs w:val="32"/>
        </w:rPr>
      </w:pPr>
      <w:r>
        <w:rPr>
          <w:rFonts w:hint="eastAsia" w:ascii="黑体" w:hAnsi="黑体" w:eastAsia="黑体" w:cs="黑体"/>
          <w:sz w:val="32"/>
          <w:szCs w:val="32"/>
        </w:rPr>
        <w:t>4.验证要求</w:t>
      </w:r>
    </w:p>
    <w:p w14:paraId="28A4A735">
      <w:pPr>
        <w:spacing w:after="0" w:line="620" w:lineRule="exact"/>
        <w:ind w:firstLine="624"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4.1 通用要求</w:t>
      </w:r>
    </w:p>
    <w:p w14:paraId="4FAF5367">
      <w:pPr>
        <w:pStyle w:val="6"/>
        <w:autoSpaceDE/>
        <w:autoSpaceDN/>
        <w:spacing w:after="0" w:line="620" w:lineRule="exact"/>
        <w:ind w:firstLine="624"/>
        <w:rPr>
          <w:rFonts w:hint="eastAsia" w:ascii="仿宋_GB2312" w:hAnsi="仿宋" w:eastAsia="仿宋_GB2312" w:cs="仿宋"/>
          <w:sz w:val="32"/>
          <w:szCs w:val="32"/>
        </w:rPr>
      </w:pPr>
      <w:r>
        <w:rPr>
          <w:rFonts w:hint="eastAsia" w:ascii="仿宋_GB2312" w:hAnsi="仿宋" w:eastAsia="仿宋_GB2312" w:cs="仿宋"/>
          <w:sz w:val="32"/>
          <w:szCs w:val="32"/>
        </w:rPr>
        <w:t>混合动力电动无级变速辅助驾驶智控拖拉机的安全要求、安全防护、安全性能、照明信号装置、安全使用信息等应符合DG/T 001—2024第5.4条适用条款或</w:t>
      </w:r>
      <w:bookmarkStart w:id="3" w:name="_Hlk196741711"/>
      <w:r>
        <w:rPr>
          <w:rFonts w:hint="eastAsia" w:ascii="仿宋_GB2312" w:hAnsi="仿宋" w:eastAsia="仿宋_GB2312" w:cs="仿宋"/>
          <w:sz w:val="32"/>
          <w:szCs w:val="32"/>
        </w:rPr>
        <w:t>GB 18447.1</w:t>
      </w:r>
      <w:bookmarkEnd w:id="3"/>
      <w:r>
        <w:rPr>
          <w:rFonts w:hint="eastAsia" w:ascii="仿宋_GB2312" w:hAnsi="仿宋" w:eastAsia="仿宋_GB2312" w:cs="仿宋"/>
          <w:sz w:val="32"/>
          <w:szCs w:val="32"/>
        </w:rPr>
        <w:t>适用条款，或满足不低于上述要求的企业标准的规定。依据DG/T 001—2024的具体要求见表1，依据GB 18447.1的具体要求见表2。</w:t>
      </w:r>
    </w:p>
    <w:p w14:paraId="141F6445">
      <w:pPr>
        <w:pStyle w:val="8"/>
        <w:keepNext w:val="0"/>
        <w:keepLines w:val="0"/>
        <w:pageBreakBefore w:val="0"/>
        <w:widowControl/>
        <w:numPr>
          <w:ilvl w:val="0"/>
          <w:numId w:val="0"/>
        </w:numPr>
        <w:tabs>
          <w:tab w:val="left" w:pos="360"/>
          <w:tab w:val="clear" w:pos="0"/>
        </w:tabs>
        <w:kinsoku/>
        <w:wordWrap/>
        <w:overflowPunct/>
        <w:topLinePunct w:val="0"/>
        <w:autoSpaceDE/>
        <w:autoSpaceDN/>
        <w:bidi w:val="0"/>
        <w:adjustRightInd/>
        <w:snapToGrid/>
        <w:spacing w:after="0" w:line="620" w:lineRule="exact"/>
        <w:textAlignment w:val="auto"/>
        <w:rPr>
          <w:rFonts w:hint="eastAsia" w:hAnsi="黑体"/>
          <w:sz w:val="28"/>
          <w:szCs w:val="28"/>
        </w:rPr>
      </w:pPr>
      <w:r>
        <w:rPr>
          <w:rFonts w:hAnsi="黑体"/>
          <w:sz w:val="28"/>
          <w:szCs w:val="28"/>
        </w:rPr>
        <w:t>表1  混合动力电动无级变速</w:t>
      </w:r>
      <w:r>
        <w:rPr>
          <w:rFonts w:hint="eastAsia" w:hAnsi="黑体"/>
          <w:sz w:val="28"/>
          <w:szCs w:val="28"/>
        </w:rPr>
        <w:t>辅助驾驶智控拖拉机</w:t>
      </w:r>
      <w:r>
        <w:rPr>
          <w:rFonts w:hAnsi="黑体"/>
          <w:sz w:val="28"/>
          <w:szCs w:val="28"/>
        </w:rPr>
        <w:t>安全性要求</w:t>
      </w:r>
    </w:p>
    <w:p w14:paraId="13567A58">
      <w:pPr>
        <w:pStyle w:val="8"/>
        <w:keepNext w:val="0"/>
        <w:keepLines w:val="0"/>
        <w:pageBreakBefore w:val="0"/>
        <w:widowControl/>
        <w:numPr>
          <w:ilvl w:val="0"/>
          <w:numId w:val="0"/>
        </w:numPr>
        <w:tabs>
          <w:tab w:val="left" w:pos="360"/>
          <w:tab w:val="clear" w:pos="0"/>
        </w:tabs>
        <w:kinsoku/>
        <w:wordWrap/>
        <w:overflowPunct/>
        <w:topLinePunct w:val="0"/>
        <w:autoSpaceDE/>
        <w:autoSpaceDN/>
        <w:bidi w:val="0"/>
        <w:adjustRightInd/>
        <w:snapToGrid/>
        <w:spacing w:after="0" w:line="620" w:lineRule="exact"/>
        <w:textAlignment w:val="auto"/>
        <w:rPr>
          <w:rFonts w:hint="eastAsia" w:hAnsi="黑体"/>
          <w:sz w:val="28"/>
          <w:szCs w:val="32"/>
        </w:rPr>
      </w:pPr>
      <w:r>
        <w:rPr>
          <w:rFonts w:hint="eastAsia" w:hAnsi="黑体"/>
          <w:sz w:val="28"/>
          <w:szCs w:val="32"/>
        </w:rPr>
        <w:t>（依据</w:t>
      </w:r>
      <w:r>
        <w:rPr>
          <w:rFonts w:hAnsi="黑体"/>
          <w:sz w:val="28"/>
          <w:szCs w:val="32"/>
        </w:rPr>
        <w:t>DG/T 001—2024</w:t>
      </w:r>
      <w:r>
        <w:rPr>
          <w:rFonts w:hint="eastAsia" w:hAnsi="黑体"/>
          <w:sz w:val="28"/>
          <w:szCs w:val="32"/>
        </w:rPr>
        <w:t>）</w:t>
      </w:r>
    </w:p>
    <w:tbl>
      <w:tblPr>
        <w:tblStyle w:val="4"/>
        <w:tblW w:w="74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2"/>
        <w:gridCol w:w="4570"/>
      </w:tblGrid>
      <w:tr w14:paraId="68E2E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77A03C2F">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项目</w:t>
            </w:r>
          </w:p>
        </w:tc>
        <w:tc>
          <w:tcPr>
            <w:tcW w:w="4570" w:type="dxa"/>
            <w:vAlign w:val="center"/>
          </w:tcPr>
          <w:p w14:paraId="5931DC72">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要求</w:t>
            </w:r>
          </w:p>
        </w:tc>
      </w:tr>
      <w:tr w14:paraId="7D5CA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63D98913">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安全要求</w:t>
            </w:r>
          </w:p>
        </w:tc>
        <w:tc>
          <w:tcPr>
            <w:tcW w:w="4570" w:type="dxa"/>
            <w:vAlign w:val="center"/>
          </w:tcPr>
          <w:p w14:paraId="2B6C85FB">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5.4.1条款</w:t>
            </w:r>
          </w:p>
        </w:tc>
      </w:tr>
      <w:tr w14:paraId="4A323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676A6E47">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安全防护</w:t>
            </w:r>
          </w:p>
        </w:tc>
        <w:tc>
          <w:tcPr>
            <w:tcW w:w="4570" w:type="dxa"/>
            <w:vAlign w:val="center"/>
          </w:tcPr>
          <w:p w14:paraId="791588E9">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5.4.2条款</w:t>
            </w:r>
          </w:p>
        </w:tc>
      </w:tr>
      <w:tr w14:paraId="4899A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04066A2C">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安全性能</w:t>
            </w:r>
          </w:p>
        </w:tc>
        <w:tc>
          <w:tcPr>
            <w:tcW w:w="4570" w:type="dxa"/>
            <w:vAlign w:val="center"/>
          </w:tcPr>
          <w:p w14:paraId="0523C718">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5.4.3条款</w:t>
            </w:r>
          </w:p>
        </w:tc>
      </w:tr>
      <w:tr w14:paraId="00920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4949D3D1">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照明信号装置</w:t>
            </w:r>
          </w:p>
        </w:tc>
        <w:tc>
          <w:tcPr>
            <w:tcW w:w="4570" w:type="dxa"/>
            <w:vAlign w:val="center"/>
          </w:tcPr>
          <w:p w14:paraId="304FCDAC">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5.4.4条款</w:t>
            </w:r>
          </w:p>
        </w:tc>
      </w:tr>
      <w:tr w14:paraId="07131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7CA39C32">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安全使用信息</w:t>
            </w:r>
          </w:p>
        </w:tc>
        <w:tc>
          <w:tcPr>
            <w:tcW w:w="4570" w:type="dxa"/>
            <w:vAlign w:val="center"/>
          </w:tcPr>
          <w:p w14:paraId="2BAC2BA5">
            <w:pPr>
              <w:pStyle w:val="6"/>
              <w:autoSpaceDE/>
              <w:autoSpaceDN/>
              <w:spacing w:after="0" w:line="520" w:lineRule="exact"/>
              <w:ind w:firstLine="584"/>
              <w:rPr>
                <w:rFonts w:hint="eastAsia" w:ascii="仿宋_GB2312" w:hAnsi="仿宋" w:eastAsia="仿宋_GB2312" w:cs="仿宋"/>
                <w:sz w:val="30"/>
                <w:szCs w:val="30"/>
              </w:rPr>
            </w:pPr>
            <w:r>
              <w:rPr>
                <w:rFonts w:hint="eastAsia" w:ascii="仿宋_GB2312" w:hAnsi="仿宋" w:eastAsia="仿宋_GB2312" w:cs="仿宋"/>
                <w:sz w:val="30"/>
                <w:szCs w:val="30"/>
              </w:rPr>
              <w:t>5.4.5条款</w:t>
            </w:r>
          </w:p>
        </w:tc>
      </w:tr>
      <w:tr w14:paraId="138A8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422" w:type="dxa"/>
            <w:gridSpan w:val="2"/>
            <w:vAlign w:val="center"/>
          </w:tcPr>
          <w:p w14:paraId="01D2EAE8">
            <w:pPr>
              <w:pStyle w:val="6"/>
              <w:autoSpaceDE/>
              <w:autoSpaceDN/>
              <w:spacing w:after="0" w:line="520" w:lineRule="exact"/>
              <w:ind w:firstLine="0" w:firstLineChars="0"/>
              <w:rPr>
                <w:rFonts w:hint="eastAsia" w:ascii="仿宋_GB2312" w:hAnsi="仿宋" w:eastAsia="仿宋_GB2312" w:cs="仿宋"/>
                <w:sz w:val="30"/>
                <w:szCs w:val="30"/>
              </w:rPr>
            </w:pPr>
            <w:r>
              <w:rPr>
                <w:rFonts w:hint="eastAsia" w:ascii="仿宋_GB2312" w:hAnsi="仿宋" w:eastAsia="仿宋_GB2312" w:cs="仿宋"/>
                <w:sz w:val="30"/>
                <w:szCs w:val="30"/>
              </w:rPr>
              <w:t>备注：不适用条款可不做考核</w:t>
            </w:r>
          </w:p>
        </w:tc>
      </w:tr>
    </w:tbl>
    <w:p w14:paraId="6E89E830">
      <w:pPr>
        <w:pStyle w:val="8"/>
        <w:numPr>
          <w:ilvl w:val="0"/>
          <w:numId w:val="0"/>
        </w:numPr>
        <w:tabs>
          <w:tab w:val="left" w:pos="360"/>
          <w:tab w:val="clear" w:pos="0"/>
        </w:tabs>
        <w:spacing w:after="0" w:line="520" w:lineRule="exact"/>
        <w:rPr>
          <w:rFonts w:hAnsi="黑体"/>
          <w:sz w:val="28"/>
          <w:szCs w:val="32"/>
        </w:rPr>
      </w:pPr>
    </w:p>
    <w:p w14:paraId="444543F1">
      <w:pPr>
        <w:pStyle w:val="8"/>
        <w:keepNext w:val="0"/>
        <w:keepLines w:val="0"/>
        <w:pageBreakBefore w:val="0"/>
        <w:widowControl/>
        <w:numPr>
          <w:ilvl w:val="0"/>
          <w:numId w:val="0"/>
        </w:numPr>
        <w:tabs>
          <w:tab w:val="left" w:pos="360"/>
          <w:tab w:val="clear" w:pos="0"/>
        </w:tabs>
        <w:kinsoku/>
        <w:wordWrap/>
        <w:overflowPunct/>
        <w:topLinePunct w:val="0"/>
        <w:autoSpaceDE/>
        <w:autoSpaceDN/>
        <w:bidi w:val="0"/>
        <w:adjustRightInd/>
        <w:snapToGrid/>
        <w:spacing w:after="0" w:line="620" w:lineRule="exact"/>
        <w:textAlignment w:val="auto"/>
        <w:rPr>
          <w:rFonts w:hint="eastAsia" w:hAnsi="黑体"/>
          <w:sz w:val="28"/>
          <w:szCs w:val="32"/>
        </w:rPr>
      </w:pPr>
      <w:r>
        <w:rPr>
          <w:rFonts w:hAnsi="黑体"/>
          <w:sz w:val="28"/>
          <w:szCs w:val="32"/>
        </w:rPr>
        <w:t>表</w:t>
      </w:r>
      <w:r>
        <w:rPr>
          <w:rFonts w:hint="eastAsia" w:hAnsi="黑体"/>
          <w:sz w:val="28"/>
          <w:szCs w:val="32"/>
        </w:rPr>
        <w:t>2</w:t>
      </w:r>
      <w:r>
        <w:rPr>
          <w:rFonts w:hAnsi="黑体"/>
          <w:sz w:val="28"/>
          <w:szCs w:val="32"/>
        </w:rPr>
        <w:t xml:space="preserve">  混合动力电动无级变速</w:t>
      </w:r>
      <w:r>
        <w:rPr>
          <w:rFonts w:hint="eastAsia" w:hAnsi="黑体"/>
          <w:sz w:val="28"/>
          <w:szCs w:val="32"/>
        </w:rPr>
        <w:t>辅助驾驶智控拖拉机</w:t>
      </w:r>
      <w:r>
        <w:rPr>
          <w:rFonts w:hAnsi="黑体"/>
          <w:sz w:val="28"/>
          <w:szCs w:val="32"/>
        </w:rPr>
        <w:t>安全性要求</w:t>
      </w:r>
    </w:p>
    <w:p w14:paraId="304C4D44">
      <w:pPr>
        <w:pStyle w:val="8"/>
        <w:keepNext w:val="0"/>
        <w:keepLines w:val="0"/>
        <w:pageBreakBefore w:val="0"/>
        <w:widowControl/>
        <w:numPr>
          <w:ilvl w:val="0"/>
          <w:numId w:val="0"/>
        </w:numPr>
        <w:tabs>
          <w:tab w:val="left" w:pos="360"/>
          <w:tab w:val="clear" w:pos="0"/>
        </w:tabs>
        <w:kinsoku/>
        <w:wordWrap/>
        <w:overflowPunct/>
        <w:topLinePunct w:val="0"/>
        <w:autoSpaceDE/>
        <w:autoSpaceDN/>
        <w:bidi w:val="0"/>
        <w:adjustRightInd/>
        <w:snapToGrid/>
        <w:spacing w:after="0" w:line="620" w:lineRule="exact"/>
        <w:textAlignment w:val="auto"/>
        <w:rPr>
          <w:rFonts w:hint="eastAsia" w:hAnsi="黑体"/>
          <w:sz w:val="28"/>
          <w:szCs w:val="32"/>
        </w:rPr>
      </w:pPr>
      <w:r>
        <w:rPr>
          <w:rFonts w:hint="eastAsia" w:hAnsi="黑体"/>
          <w:sz w:val="28"/>
          <w:szCs w:val="32"/>
        </w:rPr>
        <w:t>（依据</w:t>
      </w:r>
      <w:r>
        <w:rPr>
          <w:rFonts w:hAnsi="黑体"/>
          <w:sz w:val="28"/>
          <w:szCs w:val="32"/>
        </w:rPr>
        <w:t>GB 18447.1</w:t>
      </w:r>
      <w:r>
        <w:rPr>
          <w:rFonts w:hint="eastAsia" w:hAnsi="黑体"/>
          <w:sz w:val="28"/>
          <w:szCs w:val="32"/>
        </w:rPr>
        <w:t>）</w:t>
      </w:r>
    </w:p>
    <w:tbl>
      <w:tblPr>
        <w:tblStyle w:val="4"/>
        <w:tblW w:w="74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2"/>
        <w:gridCol w:w="4570"/>
      </w:tblGrid>
      <w:tr w14:paraId="7FDC3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7A3D05F0">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项目</w:t>
            </w:r>
          </w:p>
        </w:tc>
        <w:tc>
          <w:tcPr>
            <w:tcW w:w="4570" w:type="dxa"/>
            <w:vAlign w:val="center"/>
          </w:tcPr>
          <w:p w14:paraId="1219B908">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要求</w:t>
            </w:r>
          </w:p>
        </w:tc>
      </w:tr>
      <w:tr w14:paraId="1D530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3D43AB8C">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一般要求</w:t>
            </w:r>
          </w:p>
        </w:tc>
        <w:tc>
          <w:tcPr>
            <w:tcW w:w="4570" w:type="dxa"/>
            <w:vAlign w:val="center"/>
          </w:tcPr>
          <w:p w14:paraId="6818DFEA">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4.1条款</w:t>
            </w:r>
          </w:p>
        </w:tc>
      </w:tr>
      <w:tr w14:paraId="68C22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1646D849">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安全防护</w:t>
            </w:r>
          </w:p>
        </w:tc>
        <w:tc>
          <w:tcPr>
            <w:tcW w:w="4570" w:type="dxa"/>
            <w:vAlign w:val="center"/>
          </w:tcPr>
          <w:p w14:paraId="36E42091">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4.2条款</w:t>
            </w:r>
          </w:p>
        </w:tc>
      </w:tr>
      <w:tr w14:paraId="33861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7CA2066A">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制动性能</w:t>
            </w:r>
          </w:p>
        </w:tc>
        <w:tc>
          <w:tcPr>
            <w:tcW w:w="4570" w:type="dxa"/>
            <w:vAlign w:val="center"/>
          </w:tcPr>
          <w:p w14:paraId="6EDD1BF2">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4.3条款</w:t>
            </w:r>
          </w:p>
        </w:tc>
      </w:tr>
      <w:tr w14:paraId="6A191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39CBF551">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照明、信号装置</w:t>
            </w:r>
          </w:p>
        </w:tc>
        <w:tc>
          <w:tcPr>
            <w:tcW w:w="4570" w:type="dxa"/>
            <w:vAlign w:val="center"/>
          </w:tcPr>
          <w:p w14:paraId="608F0754">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4.4条款</w:t>
            </w:r>
          </w:p>
        </w:tc>
      </w:tr>
      <w:tr w14:paraId="69E50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852" w:type="dxa"/>
            <w:vAlign w:val="center"/>
          </w:tcPr>
          <w:p w14:paraId="5FD67108">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安全操作标识、使用信息</w:t>
            </w:r>
          </w:p>
        </w:tc>
        <w:tc>
          <w:tcPr>
            <w:tcW w:w="4570" w:type="dxa"/>
            <w:vAlign w:val="center"/>
          </w:tcPr>
          <w:p w14:paraId="40BB3B77">
            <w:pPr>
              <w:widowControl/>
              <w:tabs>
                <w:tab w:val="center" w:pos="4201"/>
                <w:tab w:val="right" w:leader="dot" w:pos="9298"/>
              </w:tabs>
              <w:autoSpaceDE w:val="0"/>
              <w:autoSpaceDN w:val="0"/>
              <w:snapToGrid w:val="0"/>
              <w:spacing w:after="0" w:line="360" w:lineRule="exact"/>
              <w:jc w:val="center"/>
              <w:rPr>
                <w:rFonts w:hint="eastAsia" w:ascii="仿宋_GB2312" w:hAnsi="仿宋" w:eastAsia="仿宋_GB2312" w:cs="仿宋"/>
                <w:kern w:val="0"/>
                <w:sz w:val="30"/>
                <w:szCs w:val="30"/>
              </w:rPr>
            </w:pPr>
            <w:r>
              <w:rPr>
                <w:rFonts w:hint="eastAsia" w:ascii="仿宋_GB2312" w:hAnsi="仿宋" w:eastAsia="仿宋_GB2312" w:cs="仿宋"/>
                <w:kern w:val="0"/>
                <w:sz w:val="30"/>
                <w:szCs w:val="30"/>
              </w:rPr>
              <w:t>4.5条款、5条款</w:t>
            </w:r>
          </w:p>
        </w:tc>
      </w:tr>
      <w:tr w14:paraId="3E83E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7422" w:type="dxa"/>
            <w:gridSpan w:val="2"/>
            <w:vAlign w:val="center"/>
          </w:tcPr>
          <w:p w14:paraId="1304E9A4">
            <w:pPr>
              <w:widowControl/>
              <w:tabs>
                <w:tab w:val="center" w:pos="4201"/>
                <w:tab w:val="right" w:leader="dot" w:pos="9298"/>
              </w:tabs>
              <w:autoSpaceDE w:val="0"/>
              <w:autoSpaceDN w:val="0"/>
              <w:snapToGrid w:val="0"/>
              <w:spacing w:after="0" w:line="360" w:lineRule="exact"/>
              <w:rPr>
                <w:rFonts w:hint="eastAsia" w:ascii="仿宋_GB2312" w:hAnsi="仿宋" w:eastAsia="仿宋_GB2312" w:cs="仿宋"/>
                <w:kern w:val="0"/>
                <w:sz w:val="30"/>
                <w:szCs w:val="30"/>
              </w:rPr>
            </w:pPr>
            <w:r>
              <w:rPr>
                <w:rFonts w:hint="eastAsia" w:ascii="仿宋_GB2312" w:hAnsi="仿宋" w:eastAsia="仿宋_GB2312" w:cs="仿宋"/>
                <w:kern w:val="0"/>
                <w:sz w:val="30"/>
                <w:szCs w:val="30"/>
              </w:rPr>
              <w:t>备注：不适用条款可不做考核</w:t>
            </w:r>
          </w:p>
        </w:tc>
      </w:tr>
    </w:tbl>
    <w:p w14:paraId="668AC0AD">
      <w:pPr>
        <w:spacing w:after="0" w:line="620" w:lineRule="exact"/>
        <w:ind w:firstLine="624"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4.2 电动相关要求</w:t>
      </w:r>
    </w:p>
    <w:p w14:paraId="740EAAB9">
      <w:pPr>
        <w:spacing w:after="0" w:line="620" w:lineRule="exact"/>
        <w:rPr>
          <w:rFonts w:hint="eastAsia" w:ascii="仿宋_GB2312" w:hAnsi="仿宋" w:eastAsia="仿宋_GB2312" w:cs="仿宋"/>
          <w:sz w:val="32"/>
          <w:szCs w:val="32"/>
        </w:rPr>
      </w:pPr>
      <w:r>
        <w:rPr>
          <w:rFonts w:hint="eastAsia" w:ascii="仿宋" w:hAnsi="仿宋" w:eastAsia="仿宋" w:cs="仿宋"/>
          <w:sz w:val="30"/>
          <w:szCs w:val="30"/>
        </w:rPr>
        <w:t xml:space="preserve">    </w:t>
      </w:r>
      <w:r>
        <w:rPr>
          <w:rFonts w:hint="eastAsia" w:ascii="仿宋_GB2312" w:hAnsi="仿宋" w:eastAsia="仿宋_GB2312" w:cs="仿宋"/>
          <w:sz w:val="32"/>
          <w:szCs w:val="32"/>
        </w:rPr>
        <w:t>电动相关术语及电压等级参照GB 18384，相关要求如下。</w:t>
      </w:r>
    </w:p>
    <w:p w14:paraId="71B88167">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4.2.1 拖拉机的机载可充电储能系统（REESS）可以通过外电源充电时，当拖拉机被物理连接到外部电源时，应不能通过自身的驱动系统移动。</w:t>
      </w:r>
    </w:p>
    <w:p w14:paraId="4E49328B">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4.2.2 拖拉机在起步且行驶速度低于20km/h时（混动拖拉机发动机未运行），应能给机外人员发出适当的提示性声响。</w:t>
      </w:r>
    </w:p>
    <w:p w14:paraId="6924EE83">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4.2.3 拖拉机B级电压电路中的可充电储能系统（REESS）应用符合规定的警告标记予以标识；当人员能接近REESS的高压部分时，还应清晰可见地注明REESS的种类（例如，超级电容器、铅酸电池、镍氢电池、锂离子电池等）。当移开遮栏或外壳可以露出B级电压带电部分时，遮栏和外壳上也应有同样的警告标记清晰可见。</w:t>
      </w:r>
    </w:p>
    <w:p w14:paraId="48DF06A2">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4.2.4 拖拉机B级电压电气设备的外露可导电部分，包括外露可导电的遮栏和外壳，应当按照要求连接到电平台以保持电位均衡。</w:t>
      </w:r>
    </w:p>
    <w:p w14:paraId="2F0E5609">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4.2.5 当驾驶人离开拖拉机时，若拖拉机驱动系统仍处于“可行驶模式”，则应通过一个明显的信号装置（例如：声或光信号）提示驾驶人。切断电源后，拖拉机应不能产生由自身电驱动系统造成的不期望的行驶。</w:t>
      </w:r>
    </w:p>
    <w:p w14:paraId="5407614C">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4.2.6 对没有嵌入在一个完整的电路里的可充电储能系统（REESS），其绝缘电阻除以最大工作电压的可充电储能系统（REESS）阻值：</w:t>
      </w:r>
    </w:p>
    <w:p w14:paraId="3A2C8C22">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若在整个寿命期内没有交流电路，或交流电路有附加防护，应大于或等于100Ω/V；若包括交流电路且没有附加防护，应大于或等于500Ω/V。</w:t>
      </w:r>
    </w:p>
    <w:p w14:paraId="5A08C0ED">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若可充电储能系统（REESS）集成在了一个完整电路里，则可充电储能系统（REESS）阻值应大于或等于500Ω/V或制造厂家规定的更高阻值。</w:t>
      </w:r>
    </w:p>
    <w:p w14:paraId="1CDE365E">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4.2.7 若可充电储能系统（REESS）自身没有防短路功能，则应有一个可充电储能系统（REESS）过电流断开装置能在拖拉机生产者规定的条件下断开可充电储能系统（REESS）电路，以防止对人员、拖拉机和环境造成危害。</w:t>
      </w:r>
    </w:p>
    <w:p w14:paraId="13D867B4">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4.2.8 当拖拉机的绝缘电阻值低于4.2.6规定的数值（或拖拉机生产者规定的更高阻值）时，应通过一个明显的信号装置（例如：声或光信号）提示驾驶人。</w:t>
      </w:r>
    </w:p>
    <w:p w14:paraId="700F16AA">
      <w:pPr>
        <w:spacing w:after="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4.2.9 拖拉机应具有能切断动力电路的功能。</w:t>
      </w:r>
    </w:p>
    <w:p w14:paraId="0DE57365">
      <w:pPr>
        <w:spacing w:after="0" w:line="620" w:lineRule="exact"/>
        <w:rPr>
          <w:rFonts w:hint="eastAsia" w:ascii="黑体" w:hAnsi="黑体" w:eastAsia="黑体" w:cs="黑体"/>
          <w:sz w:val="32"/>
          <w:szCs w:val="32"/>
        </w:rPr>
      </w:pPr>
      <w:r>
        <w:rPr>
          <w:rFonts w:hint="eastAsia" w:ascii="黑体" w:hAnsi="黑体" w:eastAsia="黑体" w:cs="黑体"/>
          <w:sz w:val="32"/>
          <w:szCs w:val="32"/>
        </w:rPr>
        <w:t>5. 验证结果</w:t>
      </w:r>
    </w:p>
    <w:p w14:paraId="36889214">
      <w:pPr>
        <w:pStyle w:val="7"/>
        <w:spacing w:beforeLines="0" w:after="0" w:afterLines="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采信具备拖拉机资质认定（CMA）的农业机械鉴定机构、或同时具备拖拉机资质认定（CMA）和中国合格评定国家认可委员会（CNAS）认可的检验检测机构，依据上述要求出具的安全性检验报告或验证报告（报告模板另附，其中检验报告应加盖CMA或CNAS章）。安全性要求电动部分</w:t>
      </w:r>
      <w:bookmarkStart w:id="4" w:name="_Hlk196643443"/>
      <w:r>
        <w:rPr>
          <w:rFonts w:hint="eastAsia" w:ascii="仿宋_GB2312" w:hAnsi="仿宋" w:eastAsia="仿宋_GB2312" w:cs="仿宋"/>
          <w:sz w:val="32"/>
          <w:szCs w:val="32"/>
        </w:rPr>
        <w:t>可另行单独提供上述机构依据4.2条出具的验证报告。</w:t>
      </w:r>
    </w:p>
    <w:bookmarkEnd w:id="4"/>
    <w:p w14:paraId="32ED056A">
      <w:pPr>
        <w:pStyle w:val="7"/>
        <w:spacing w:beforeLines="0" w:after="0" w:afterLines="0" w:line="620" w:lineRule="exact"/>
        <w:ind w:firstLine="624" w:firstLineChars="200"/>
        <w:rPr>
          <w:rFonts w:hint="eastAsia" w:ascii="仿宋_GB2312" w:hAnsi="仿宋" w:eastAsia="仿宋_GB2312" w:cs="仿宋"/>
          <w:sz w:val="32"/>
          <w:szCs w:val="32"/>
        </w:rPr>
      </w:pPr>
      <w:r>
        <w:rPr>
          <w:rFonts w:hint="eastAsia" w:ascii="仿宋_GB2312" w:hAnsi="仿宋" w:eastAsia="仿宋_GB2312" w:cs="仿宋"/>
          <w:sz w:val="32"/>
          <w:szCs w:val="32"/>
        </w:rPr>
        <w:t>验证项目全部满足要求时（不适用的除外），安全性检验报告结论为合格；否</w:t>
      </w:r>
      <w:bookmarkStart w:id="5" w:name="_GoBack"/>
      <w:bookmarkEnd w:id="5"/>
      <w:r>
        <w:rPr>
          <w:rFonts w:hint="eastAsia" w:ascii="仿宋_GB2312" w:hAnsi="仿宋" w:eastAsia="仿宋_GB2312" w:cs="仿宋"/>
          <w:sz w:val="32"/>
          <w:szCs w:val="32"/>
        </w:rPr>
        <w:t>则，安全性检验报告结论为不合格。</w:t>
      </w:r>
      <w:bookmarkEnd w:id="2"/>
    </w:p>
    <w:p w14:paraId="63431FA5"/>
    <w:sectPr>
      <w:footerReference r:id="rId9" w:type="first"/>
      <w:headerReference r:id="rId5" w:type="default"/>
      <w:footerReference r:id="rId7" w:type="default"/>
      <w:headerReference r:id="rId6" w:type="even"/>
      <w:footerReference r:id="rId8" w:type="even"/>
      <w:pgSz w:w="11906" w:h="16838"/>
      <w:pgMar w:top="2098" w:right="1587" w:bottom="2098" w:left="1587" w:header="851" w:footer="1701" w:gutter="0"/>
      <w:cols w:space="720" w:num="1"/>
      <w:titlePg/>
      <w:docGrid w:type="linesAndChars" w:linePitch="574" w:charSpace="-16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8B610">
    <w:pPr>
      <w:pStyle w:val="3"/>
      <w:wordWrap w:val="0"/>
      <w:ind w:right="269" w:rightChars="128"/>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300" cy="3390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47F54C78">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59264;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djbs0QAAAAMBAAAPAAAAAAAAAAEAIAAAACIAAABkcnMvZG93&#10;bnJldi54bWxQSwECFAAUAAAACACHTuJAIsen3c4BAACXAwAADgAAAAAAAAABACAAAAAgAQAAZHJz&#10;L2Uyb0RvYy54bWxQSwUGAAAAAAYABgBZAQAAYAUAAAAA&#10;">
              <v:fill on="f" focussize="0,0"/>
              <v:stroke on="f"/>
              <v:imagedata o:title=""/>
              <o:lock v:ext="edit" aspectratio="f"/>
              <v:textbox inset="0mm,0mm,0mm,0mm" style="mso-fit-shape-to-text:t;">
                <w:txbxContent>
                  <w:p w14:paraId="47F54C78">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8B580">
    <w:pPr>
      <w:pStyle w:val="3"/>
      <w:ind w:firstLine="358" w:firstLineChars="128"/>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300" cy="3390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5489CDAB">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60288;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t2NuzRAAAAAwEAAA8AAAAAAAAAAQAgAAAAIgAAAGRycy9kb3du&#10;cmV2LnhtbFBLAQIUABQAAAAIAIdO4kDP1DjczQEAAJcDAAAOAAAAAAAAAAEAIAAAACABAABkcnMv&#10;ZTJvRG9jLnhtbFBLBQYAAAAABgAGAFkBAABfBQAAAAA=&#10;">
              <v:fill on="f" focussize="0,0"/>
              <v:stroke on="f"/>
              <v:imagedata o:title=""/>
              <o:lock v:ext="edit" aspectratio="f"/>
              <v:textbox inset="0mm,0mm,0mm,0mm" style="mso-fit-shape-to-text:t;">
                <w:txbxContent>
                  <w:p w14:paraId="5489CDAB">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A1AAC">
    <w:pPr>
      <w:pStyle w:val="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00100" cy="3390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800100" cy="339090"/>
                      </a:xfrm>
                      <a:prstGeom prst="rect">
                        <a:avLst/>
                      </a:prstGeom>
                      <a:noFill/>
                      <a:ln>
                        <a:noFill/>
                      </a:ln>
                    </wps:spPr>
                    <wps:txbx>
                      <w:txbxContent>
                        <w:p w14:paraId="2DB52E2C">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63pt;mso-position-horizontal:outside;mso-position-horizontal-relative:margin;mso-wrap-style:none;z-index:251661312;mso-width-relative:page;mso-height-relative:page;" filled="f" stroked="f" coordsize="21600,21600" o:gfxdata="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KL9WjSAAAABAEAAA8AAAAAAAAAAQAgAAAAIgAAAGRycy9kb3du&#10;cmV2LnhtbFBLAQIUABQAAAAIAIdO4kBCsGWFzAEAAJcDAAAOAAAAAAAAAAEAIAAAACEBAABkcnMv&#10;ZTJvRG9jLnhtbFBLBQYAAAAABgAGAFkBAABfBQAAAAA=&#10;">
              <v:fill on="f" focussize="0,0"/>
              <v:stroke on="f"/>
              <v:imagedata o:title=""/>
              <o:lock v:ext="edit" aspectratio="f"/>
              <v:textbox inset="0mm,0mm,0mm,0mm" style="mso-fit-shape-to-text:t;">
                <w:txbxContent>
                  <w:p w14:paraId="2DB52E2C">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C16C9">
    <w:pPr>
      <w:ind w:left="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676C2">
    <w:pPr>
      <w:ind w:left="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E6D83"/>
    <w:multiLevelType w:val="multilevel"/>
    <w:tmpl w:val="35FE6D83"/>
    <w:lvl w:ilvl="0" w:tentative="0">
      <w:start w:val="1"/>
      <w:numFmt w:val="decimal"/>
      <w:pStyle w:val="8"/>
      <w:suff w:val="nothing"/>
      <w:lvlText w:val="表%1　"/>
      <w:lvlJc w:val="left"/>
      <w:pPr>
        <w:tabs>
          <w:tab w:val="left" w:pos="0"/>
        </w:tabs>
        <w:ind w:left="0" w:firstLine="0"/>
      </w:pPr>
      <w:rPr>
        <w:rFonts w:hint="eastAsia" w:ascii="黑体" w:hAnsi="黑体" w:eastAsia="黑体"/>
        <w:b w:val="0"/>
        <w:i w:val="0"/>
        <w:sz w:val="21"/>
      </w:rPr>
    </w:lvl>
    <w:lvl w:ilvl="1" w:tentative="0">
      <w:start w:val="1"/>
      <w:numFmt w:val="decimal"/>
      <w:lvlText w:val="%1.%2"/>
      <w:lvlJc w:val="left"/>
      <w:pPr>
        <w:tabs>
          <w:tab w:val="left" w:pos="0"/>
        </w:tabs>
        <w:ind w:left="992" w:hanging="567"/>
      </w:pPr>
      <w:rPr>
        <w:rFonts w:hint="eastAsia"/>
      </w:rPr>
    </w:lvl>
    <w:lvl w:ilvl="2" w:tentative="0">
      <w:start w:val="1"/>
      <w:numFmt w:val="decimal"/>
      <w:lvlText w:val="%1.%2.%3"/>
      <w:lvlJc w:val="left"/>
      <w:pPr>
        <w:tabs>
          <w:tab w:val="left" w:pos="0"/>
        </w:tabs>
        <w:ind w:left="1418" w:hanging="567"/>
      </w:pPr>
      <w:rPr>
        <w:rFonts w:hint="eastAsia"/>
      </w:rPr>
    </w:lvl>
    <w:lvl w:ilvl="3" w:tentative="0">
      <w:start w:val="1"/>
      <w:numFmt w:val="decimal"/>
      <w:lvlText w:val="%1.%2.%3.%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eastAsia"/>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EA85C"/>
    <w:rsid w:val="0010267F"/>
    <w:rsid w:val="001A2538"/>
    <w:rsid w:val="002F5DB7"/>
    <w:rsid w:val="003747C9"/>
    <w:rsid w:val="004628B3"/>
    <w:rsid w:val="006C486F"/>
    <w:rsid w:val="007B6A1C"/>
    <w:rsid w:val="00813AA2"/>
    <w:rsid w:val="00880086"/>
    <w:rsid w:val="009910B9"/>
    <w:rsid w:val="00A5771A"/>
    <w:rsid w:val="00AB5454"/>
    <w:rsid w:val="00B57FBB"/>
    <w:rsid w:val="00EE4EBA"/>
    <w:rsid w:val="00FC3793"/>
    <w:rsid w:val="193D579E"/>
    <w:rsid w:val="21DE2B82"/>
    <w:rsid w:val="257139F9"/>
    <w:rsid w:val="3D7206A8"/>
    <w:rsid w:val="3F196E78"/>
    <w:rsid w:val="50503AF1"/>
    <w:rsid w:val="6A7A781E"/>
    <w:rsid w:val="72620A4E"/>
    <w:rsid w:val="72AA703D"/>
    <w:rsid w:val="744045F9"/>
    <w:rsid w:val="765C4908"/>
    <w:rsid w:val="7D7EA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widowControl/>
    </w:pPr>
    <w:rPr>
      <w:rFonts w:ascii="Times New Roman" w:hAnsi="Times New Roman" w:eastAsia="仿宋_GB2312"/>
      <w:color w:val="000000"/>
      <w:sz w:val="32"/>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段"/>
    <w:qFormat/>
    <w:uiPriority w:val="0"/>
    <w:pPr>
      <w:tabs>
        <w:tab w:val="center" w:pos="4201"/>
        <w:tab w:val="right" w:leader="dot" w:pos="9298"/>
      </w:tabs>
      <w:autoSpaceDE w:val="0"/>
      <w:autoSpaceDN w:val="0"/>
      <w:spacing w:after="160" w:line="278" w:lineRule="auto"/>
      <w:ind w:firstLine="200" w:firstLineChars="200"/>
      <w:jc w:val="both"/>
    </w:pPr>
    <w:rPr>
      <w:rFonts w:ascii="宋体" w:hAnsi="Times New Roman" w:eastAsia="宋体" w:cs="Times New Roman"/>
      <w:sz w:val="21"/>
      <w:szCs w:val="22"/>
      <w:lang w:val="en-US" w:eastAsia="zh-CN" w:bidi="ar-SA"/>
    </w:rPr>
  </w:style>
  <w:style w:type="paragraph" w:customStyle="1" w:styleId="7">
    <w:name w:val="章标题"/>
    <w:next w:val="1"/>
    <w:qFormat/>
    <w:uiPriority w:val="0"/>
    <w:pPr>
      <w:spacing w:before="100" w:beforeLines="100" w:after="100" w:afterLines="100" w:line="278" w:lineRule="auto"/>
      <w:jc w:val="both"/>
      <w:outlineLvl w:val="1"/>
    </w:pPr>
    <w:rPr>
      <w:rFonts w:ascii="黑体" w:hAnsi="Times New Roman" w:eastAsia="黑体" w:cs="Times New Roman"/>
      <w:sz w:val="21"/>
      <w:szCs w:val="22"/>
      <w:lang w:val="en-US" w:eastAsia="zh-CN" w:bidi="ar-SA"/>
    </w:rPr>
  </w:style>
  <w:style w:type="paragraph" w:customStyle="1" w:styleId="8">
    <w:name w:val="正文表标题"/>
    <w:next w:val="6"/>
    <w:qFormat/>
    <w:uiPriority w:val="0"/>
    <w:pPr>
      <w:numPr>
        <w:ilvl w:val="0"/>
        <w:numId w:val="1"/>
      </w:numPr>
      <w:spacing w:after="160" w:line="278" w:lineRule="auto"/>
      <w:jc w:val="center"/>
    </w:pPr>
    <w:rPr>
      <w:rFonts w:ascii="黑体" w:hAnsi="Times New Roman" w:eastAsia="黑体" w:cs="Times New Roman"/>
      <w:sz w:val="21"/>
      <w:szCs w:val="22"/>
      <w:lang w:val="en-US" w:eastAsia="zh-CN" w:bidi="ar-SA"/>
    </w:rPr>
  </w:style>
  <w:style w:type="paragraph" w:customStyle="1" w:styleId="9">
    <w:name w:val="Revision"/>
    <w:hidden/>
    <w:unhideWhenUsed/>
    <w:uiPriority w:val="99"/>
    <w:rPr>
      <w:rFonts w:ascii="Calibri" w:hAnsi="Calibri" w:eastAsia="宋体" w:cs="Times New Roman"/>
      <w:kern w:val="2"/>
      <w:sz w:val="21"/>
      <w:szCs w:val="22"/>
      <w:lang w:val="en-US" w:eastAsia="zh-CN" w:bidi="ar-SA"/>
    </w:rPr>
  </w:style>
  <w:style w:type="paragraph" w:styleId="1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1651</Words>
  <Characters>1889</Characters>
  <Lines>65</Lines>
  <Paragraphs>68</Paragraphs>
  <TotalTime>24</TotalTime>
  <ScaleCrop>false</ScaleCrop>
  <LinksUpToDate>false</LinksUpToDate>
  <CharactersWithSpaces>1926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2025-09-01T10:33:00Z</dcterms:created>
  <dc:creator>szfxm</dc:creator>
  <cp:lastModifiedBy>晚风自南</cp:lastModifiedBy>
  <dcterms:modified xsi:type="dcterms:W3CDTF">2026-07-07T02:01:44Z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eyJoZGlkIjoiYjRhZDE5OTIxYzRmZWYyNDQ4ZjBjYzkyYmI3MjgxNmIiLCJ1c2VySWQiOiI1NjA2MjkyMDgifQ==</vt:lpwstr>
  </property>
  <property fmtid="{D5CDD505-2E9C-101B-9397-08002B2CF9AE}" pid="4" name="ICV">
    <vt:lpwstr>DA9536B5ED6C4EC692CC1C7926ACC0FC_13</vt:lpwstr>
  </property>
</Properties>
</file>