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69C4004">
      <w:pPr>
        <w:adjustRightInd w:val="0"/>
        <w:snapToGrid w:val="0"/>
        <w:spacing w:line="560" w:lineRule="exact"/>
        <w:jc w:val="center"/>
        <w:rPr>
          <w:rFonts w:hint="eastAsia" w:eastAsia="方正小标宋简体"/>
          <w:sz w:val="44"/>
          <w:szCs w:val="44"/>
        </w:rPr>
      </w:pPr>
    </w:p>
    <w:p w14:paraId="7B05FA94">
      <w:pPr>
        <w:adjustRightInd w:val="0"/>
        <w:snapToGrid w:val="0"/>
        <w:spacing w:line="560" w:lineRule="exact"/>
        <w:jc w:val="center"/>
        <w:rPr>
          <w:rFonts w:eastAsia="方正小标宋简体"/>
          <w:sz w:val="44"/>
          <w:szCs w:val="44"/>
        </w:rPr>
      </w:pPr>
      <w:r>
        <w:rPr>
          <w:rFonts w:hint="eastAsia" w:eastAsia="方正小标宋简体"/>
          <w:sz w:val="44"/>
          <w:szCs w:val="44"/>
        </w:rPr>
        <w:t>天津市</w:t>
      </w:r>
      <w:r>
        <w:rPr>
          <w:rFonts w:eastAsia="方正小标宋简体"/>
          <w:sz w:val="44"/>
          <w:szCs w:val="44"/>
        </w:rPr>
        <w:t>2026年</w:t>
      </w:r>
      <w:r>
        <w:rPr>
          <w:rFonts w:hint="eastAsia" w:eastAsia="方正小标宋简体"/>
          <w:sz w:val="44"/>
          <w:szCs w:val="44"/>
        </w:rPr>
        <w:t>服务型新型农业经营主体能力</w:t>
      </w:r>
    </w:p>
    <w:p w14:paraId="44D0C36C">
      <w:pPr>
        <w:adjustRightInd w:val="0"/>
        <w:snapToGrid w:val="0"/>
        <w:spacing w:line="560" w:lineRule="exact"/>
        <w:jc w:val="center"/>
        <w:rPr>
          <w:rFonts w:eastAsia="方正小标宋简体"/>
          <w:sz w:val="44"/>
          <w:szCs w:val="44"/>
        </w:rPr>
      </w:pPr>
      <w:r>
        <w:rPr>
          <w:rFonts w:hint="eastAsia" w:eastAsia="方正小标宋简体"/>
          <w:sz w:val="44"/>
          <w:szCs w:val="44"/>
        </w:rPr>
        <w:t>提升</w:t>
      </w:r>
      <w:r>
        <w:rPr>
          <w:rFonts w:eastAsia="方正小标宋简体"/>
          <w:sz w:val="44"/>
          <w:szCs w:val="44"/>
        </w:rPr>
        <w:t>项目</w:t>
      </w:r>
      <w:r>
        <w:rPr>
          <w:rFonts w:hint="eastAsia" w:eastAsia="方正小标宋简体"/>
          <w:sz w:val="44"/>
          <w:szCs w:val="44"/>
        </w:rPr>
        <w:t>实施</w:t>
      </w:r>
      <w:r>
        <w:rPr>
          <w:rFonts w:eastAsia="方正小标宋简体"/>
          <w:sz w:val="44"/>
          <w:szCs w:val="44"/>
        </w:rPr>
        <w:t>方案</w:t>
      </w:r>
    </w:p>
    <w:p w14:paraId="3F343DC1">
      <w:pPr>
        <w:pStyle w:val="6"/>
        <w:spacing w:line="560" w:lineRule="exact"/>
        <w:ind w:firstLine="616" w:firstLineChars="200"/>
        <w:rPr>
          <w:rFonts w:ascii="Times New Roman" w:hAnsi="Times New Roman" w:eastAsia="仿宋_GB2312"/>
          <w:sz w:val="32"/>
          <w:szCs w:val="32"/>
        </w:rPr>
      </w:pPr>
    </w:p>
    <w:p w14:paraId="485C32EE">
      <w:pPr>
        <w:spacing w:line="560" w:lineRule="exact"/>
        <w:ind w:firstLine="616" w:firstLineChars="200"/>
        <w:rPr>
          <w:szCs w:val="32"/>
        </w:rPr>
      </w:pPr>
      <w:r>
        <w:rPr>
          <w:szCs w:val="32"/>
        </w:rPr>
        <w:t>为贯彻落实农业农村部等六部委印发的《关于加强现代农事综合服务中心建设的指导意见》</w:t>
      </w:r>
      <w:r>
        <w:rPr>
          <w:rFonts w:hint="eastAsia"/>
          <w:szCs w:val="32"/>
          <w:lang w:eastAsia="zh-CN"/>
        </w:rPr>
        <w:t>（</w:t>
      </w:r>
      <w:r>
        <w:rPr>
          <w:szCs w:val="32"/>
        </w:rPr>
        <w:t>农经发〔2025〕4号</w:t>
      </w:r>
      <w:r>
        <w:rPr>
          <w:rFonts w:hint="eastAsia"/>
          <w:szCs w:val="32"/>
          <w:lang w:eastAsia="zh-CN"/>
        </w:rPr>
        <w:t>）</w:t>
      </w:r>
      <w:r>
        <w:rPr>
          <w:szCs w:val="32"/>
        </w:rPr>
        <w:t>，支持各类从事农业社会化服务的新型农业经营主体提升服务能力，建设现代农事综合服务中心，按照《农业农村部财政部关于做好2026年粮油生产保障等项目实施工作的通知》（农计财发〔2026〕4号）和</w:t>
      </w:r>
      <w:r>
        <w:rPr>
          <w:rStyle w:val="10"/>
          <w:rFonts w:ascii="Times New Roman" w:hAnsi="Times New Roman" w:eastAsia="仿宋_GB2312"/>
          <w:szCs w:val="32"/>
        </w:rPr>
        <w:t>《天津市财政局 天津市农业农村委员会关于印发天津市农业经营主体能力提升资金管理办法的通知》（津财规〔2023〕13号）相关要求</w:t>
      </w:r>
      <w:r>
        <w:rPr>
          <w:szCs w:val="32"/>
        </w:rPr>
        <w:t>，制定实施方案如下。</w:t>
      </w:r>
    </w:p>
    <w:p w14:paraId="58985DD9">
      <w:pPr>
        <w:spacing w:line="560" w:lineRule="exact"/>
        <w:ind w:firstLine="616" w:firstLineChars="200"/>
        <w:rPr>
          <w:rFonts w:eastAsia="黑体"/>
          <w:szCs w:val="32"/>
        </w:rPr>
      </w:pPr>
      <w:r>
        <w:rPr>
          <w:rFonts w:eastAsia="黑体"/>
          <w:szCs w:val="32"/>
        </w:rPr>
        <w:t>一、任务目标</w:t>
      </w:r>
    </w:p>
    <w:p w14:paraId="546032F4">
      <w:pPr>
        <w:spacing w:line="560" w:lineRule="exact"/>
        <w:ind w:firstLine="616" w:firstLineChars="200"/>
        <w:rPr>
          <w:rFonts w:eastAsia="宋体"/>
          <w:highlight w:val="yellow"/>
        </w:rPr>
      </w:pPr>
      <w:r>
        <w:rPr>
          <w:szCs w:val="32"/>
        </w:rPr>
        <w:t>以区域农业生产需求为导向，结合宜居宜业和美乡村重点片区建设，支持具备一定服务基础的新型农业经营主体通过提升服务能力、整合服务资源，建设覆盖农业产前、产中、产后全链条的服务能力现代农事综合服务中心，为农业生产者提供一站式、全链条的综合服务，形成可复制、可推广的农业社会化服务模式。根据各涉农区现代农事综合服务中心项目储备情况，2026年支持已经建立现代农事综合服务中心储备项目库</w:t>
      </w:r>
      <w:r>
        <w:rPr>
          <w:rFonts w:hint="eastAsia"/>
          <w:szCs w:val="32"/>
          <w:lang w:eastAsia="zh-CN"/>
        </w:rPr>
        <w:t>（</w:t>
      </w:r>
      <w:r>
        <w:rPr>
          <w:szCs w:val="32"/>
        </w:rPr>
        <w:t>滨海新区、武清区、静海区、宁河区</w:t>
      </w:r>
      <w:r>
        <w:rPr>
          <w:rFonts w:hint="eastAsia"/>
          <w:szCs w:val="32"/>
          <w:lang w:eastAsia="zh-CN"/>
        </w:rPr>
        <w:t>）</w:t>
      </w:r>
      <w:r>
        <w:rPr>
          <w:szCs w:val="32"/>
        </w:rPr>
        <w:t>的4个区各建设不少于1个现代农事综合服务中心。</w:t>
      </w:r>
    </w:p>
    <w:p w14:paraId="3CD29FE1">
      <w:pPr>
        <w:spacing w:line="560" w:lineRule="exact"/>
        <w:ind w:firstLine="616" w:firstLineChars="200"/>
        <w:rPr>
          <w:rFonts w:eastAsia="黑体"/>
          <w:szCs w:val="32"/>
        </w:rPr>
      </w:pPr>
      <w:r>
        <w:rPr>
          <w:rFonts w:eastAsia="黑体"/>
          <w:szCs w:val="32"/>
        </w:rPr>
        <w:t>二、支持政策</w:t>
      </w:r>
    </w:p>
    <w:p w14:paraId="3BC933A3">
      <w:pPr>
        <w:spacing w:line="560" w:lineRule="exact"/>
        <w:ind w:firstLine="616" w:firstLineChars="200"/>
        <w:rPr>
          <w:szCs w:val="32"/>
        </w:rPr>
      </w:pPr>
      <w:r>
        <w:rPr>
          <w:rFonts w:eastAsia="楷体_GB2312"/>
          <w:szCs w:val="32"/>
        </w:rPr>
        <w:t>（一）补助标准。</w:t>
      </w:r>
      <w:r>
        <w:rPr>
          <w:szCs w:val="32"/>
        </w:rPr>
        <w:t>按照“自愿申报、依效补助”原则，对按照本通知规定要求纳入支持范围的新型农业经营主体给予财政补助：每个主体补助总额不超过100万元。对积极拓展产前产后服务、促进产业融合发展、带动农民增收效果明显的项目，给予优先支持。</w:t>
      </w:r>
    </w:p>
    <w:p w14:paraId="6822C273">
      <w:pPr>
        <w:spacing w:line="560" w:lineRule="exact"/>
        <w:ind w:firstLine="616" w:firstLineChars="200"/>
        <w:rPr>
          <w:szCs w:val="32"/>
        </w:rPr>
      </w:pPr>
      <w:r>
        <w:rPr>
          <w:rFonts w:eastAsia="楷体_GB2312"/>
          <w:szCs w:val="32"/>
        </w:rPr>
        <w:t>（二）拨付方式。</w:t>
      </w:r>
      <w:r>
        <w:rPr>
          <w:szCs w:val="32"/>
        </w:rPr>
        <w:t>财政补助资金分两次拨付，项目批复后拨付补助资金的60%，综合评价结果为“优”等级的全额拨付剩余40%，评价结果为“良”或“中”的按评价结果得分折算可获得的剩余补助资金，评价结果为“差”的不再拨付补助资金并收回已拨付的补助资金。区农业农村委在项目批复或综合评价后10个工作日内向区财政局提交资金支付申请，并同步抄送市农业农村委。</w:t>
      </w:r>
    </w:p>
    <w:p w14:paraId="06D741AB">
      <w:pPr>
        <w:spacing w:line="560" w:lineRule="exact"/>
        <w:ind w:firstLine="616" w:firstLineChars="200"/>
        <w:rPr>
          <w:szCs w:val="32"/>
        </w:rPr>
      </w:pPr>
      <w:r>
        <w:rPr>
          <w:rFonts w:eastAsia="楷体_GB2312"/>
          <w:szCs w:val="32"/>
        </w:rPr>
        <w:t>（三）使用范围。</w:t>
      </w:r>
      <w:r>
        <w:rPr>
          <w:szCs w:val="32"/>
        </w:rPr>
        <w:t>补助资金主要用于提升服务能力的服务场所改造、配套基础设施建设、仪器设备购置、数字化应用场景搭建等。本政策不得与其它同类型财政补助政策重复享受。</w:t>
      </w:r>
    </w:p>
    <w:p w14:paraId="20105E32">
      <w:pPr>
        <w:spacing w:line="560" w:lineRule="exact"/>
        <w:ind w:firstLine="616" w:firstLineChars="200"/>
        <w:rPr>
          <w:rFonts w:eastAsia="黑体"/>
          <w:szCs w:val="32"/>
        </w:rPr>
      </w:pPr>
      <w:r>
        <w:rPr>
          <w:rFonts w:eastAsia="黑体"/>
          <w:szCs w:val="32"/>
        </w:rPr>
        <w:t>三、建设标准</w:t>
      </w:r>
    </w:p>
    <w:p w14:paraId="7376E43C">
      <w:pPr>
        <w:spacing w:line="560" w:lineRule="exact"/>
        <w:ind w:firstLine="616" w:firstLineChars="200"/>
        <w:rPr>
          <w:rFonts w:eastAsia="黑体"/>
          <w:szCs w:val="32"/>
        </w:rPr>
      </w:pPr>
      <w:r>
        <w:rPr>
          <w:szCs w:val="32"/>
        </w:rPr>
        <w:t>纳入支持范围的新型农业经营主体在现有服务能力的基础上，通过能力提升或整合服务资源，达到以下标准：具备服务小农户及适度规模经营主体和产业发展需要的主要功能，应涵盖农业产前、产中、产后全链条服务领域，具体包括集中育秧（苗）、农资配送、信息咨询与金融服务、农机作业、技术服务、防灾减灾、检验检测、烘干储存、产地加工、保鲜冷藏、物流配送、产品销售（具体要求详见附件1）；具有完善的联农带农机制，与小农户、适度规模经营主体或当地政府签订长期稳定的服务协议（不低于2年），年服务农作物面积1万亩以上、100家小农户或适度规模经营主体，形成完整的服务技术规范和明确的收费标准。</w:t>
      </w:r>
    </w:p>
    <w:p w14:paraId="7A86FD91">
      <w:pPr>
        <w:spacing w:line="560" w:lineRule="exact"/>
        <w:ind w:firstLine="616" w:firstLineChars="200"/>
        <w:rPr>
          <w:rFonts w:eastAsia="黑体"/>
          <w:szCs w:val="32"/>
        </w:rPr>
      </w:pPr>
      <w:r>
        <w:rPr>
          <w:rFonts w:eastAsia="黑体"/>
          <w:szCs w:val="32"/>
        </w:rPr>
        <w:t>四、实施步骤</w:t>
      </w:r>
    </w:p>
    <w:p w14:paraId="0CB4BB4D">
      <w:pPr>
        <w:spacing w:line="560" w:lineRule="exact"/>
        <w:ind w:firstLine="616" w:firstLineChars="200"/>
        <w:rPr>
          <w:szCs w:val="32"/>
        </w:rPr>
      </w:pPr>
      <w:r>
        <w:rPr>
          <w:rFonts w:eastAsia="楷体_GB2312"/>
          <w:szCs w:val="32"/>
        </w:rPr>
        <w:t>（一）建立储备项目库（常态化开展）。</w:t>
      </w:r>
      <w:r>
        <w:rPr>
          <w:szCs w:val="32"/>
        </w:rPr>
        <w:t>区农业农村委根据本区农业产业发展规划和农业社会化服务现状，研究制定现代农事综合服务中心规划布局，公开征集计划开展农事综合服务中心建设的新型农业经营主体名单，建立区级现代农事综合服务中心储备项目库，并在每年12月30日前将储备项目库情况报送市农业农村委合作经济处（如另有通知要求，以通知要求为准）。</w:t>
      </w:r>
    </w:p>
    <w:p w14:paraId="5266E9EF">
      <w:pPr>
        <w:spacing w:line="560" w:lineRule="exact"/>
        <w:ind w:firstLine="616" w:firstLineChars="200"/>
        <w:rPr>
          <w:szCs w:val="32"/>
        </w:rPr>
      </w:pPr>
      <w:r>
        <w:rPr>
          <w:rFonts w:eastAsia="楷体_GB2312"/>
          <w:szCs w:val="32"/>
        </w:rPr>
        <w:t>（二）组织编制建设方案（</w:t>
      </w:r>
      <w:r>
        <w:rPr>
          <w:rFonts w:eastAsia="楷体_GB2312"/>
          <w:szCs w:val="32"/>
          <w:lang w:val="en"/>
        </w:rPr>
        <w:t>8</w:t>
      </w:r>
      <w:r>
        <w:rPr>
          <w:rFonts w:eastAsia="楷体_GB2312"/>
          <w:szCs w:val="32"/>
        </w:rPr>
        <w:t>月</w:t>
      </w:r>
      <w:r>
        <w:rPr>
          <w:rFonts w:eastAsia="楷体_GB2312"/>
          <w:szCs w:val="32"/>
          <w:lang w:val="en"/>
        </w:rPr>
        <w:t>10</w:t>
      </w:r>
      <w:r>
        <w:rPr>
          <w:rFonts w:eastAsia="楷体_GB2312"/>
          <w:szCs w:val="32"/>
        </w:rPr>
        <w:t>日前）。</w:t>
      </w:r>
      <w:r>
        <w:rPr>
          <w:szCs w:val="32"/>
        </w:rPr>
        <w:t>区农业农村委指导纳入储备项目库的主体完善基础条件和建设内容，根据产业发展需求开展农业社会化服务工作，组织条件成熟的项目编制《农事综合服务中心建设方案》，列明功能定位、服务范围、基础条件、选址地点、建设内容、投资估算、资金来源、运营模式、联农带农机制、预期效益、保障措施、证明材料等内容（模板见附件2），按照要求报送区农业农村委。</w:t>
      </w:r>
    </w:p>
    <w:p w14:paraId="1D776F71">
      <w:pPr>
        <w:spacing w:line="560" w:lineRule="exact"/>
        <w:ind w:firstLine="616" w:firstLineChars="200"/>
        <w:rPr>
          <w:szCs w:val="32"/>
        </w:rPr>
      </w:pPr>
      <w:r>
        <w:rPr>
          <w:rFonts w:eastAsia="楷体_GB2312"/>
          <w:szCs w:val="32"/>
        </w:rPr>
        <w:t>（三）遴选确定支持主体（</w:t>
      </w:r>
      <w:r>
        <w:rPr>
          <w:rFonts w:hint="eastAsia" w:eastAsia="楷体_GB2312"/>
          <w:szCs w:val="32"/>
        </w:rPr>
        <w:t>8</w:t>
      </w:r>
      <w:r>
        <w:rPr>
          <w:rFonts w:eastAsia="楷体_GB2312"/>
          <w:szCs w:val="32"/>
        </w:rPr>
        <w:t>月</w:t>
      </w:r>
      <w:r>
        <w:rPr>
          <w:rFonts w:hint="eastAsia" w:eastAsia="楷体_GB2312"/>
          <w:szCs w:val="32"/>
        </w:rPr>
        <w:t>底</w:t>
      </w:r>
      <w:r>
        <w:rPr>
          <w:rFonts w:eastAsia="楷体_GB2312"/>
          <w:szCs w:val="32"/>
        </w:rPr>
        <w:t>前）。</w:t>
      </w:r>
      <w:r>
        <w:rPr>
          <w:szCs w:val="32"/>
        </w:rPr>
        <w:t>区农业农村委结合本区实际，组织专家对申报项目进行遴选评审，确定纳入支持范围的主体（应符合以下基本条件：主体是开展农业社会化服务的农村集体经济组织、农民专业合作社、家庭农场、农业公司等新型农业经营主体，已从事农业社会化服务2年以上，年服务农业生产主体不少于50家，并且社会信用记录良好，具有固定场所且用地符合规定</w:t>
      </w:r>
      <w:r>
        <w:rPr>
          <w:rFonts w:hint="eastAsia"/>
          <w:szCs w:val="32"/>
          <w:lang w:eastAsia="zh-CN"/>
        </w:rPr>
        <w:t>，</w:t>
      </w:r>
      <w:r>
        <w:rPr>
          <w:szCs w:val="32"/>
        </w:rPr>
        <w:t>如用地为租赁的，租赁期不少于5年）。完成评审后在区人民政府或区农业农村委网站进行公示，公示期不少于5个工作日。区级农业农村部门应于</w:t>
      </w:r>
      <w:r>
        <w:rPr>
          <w:rFonts w:hint="eastAsia"/>
          <w:szCs w:val="32"/>
        </w:rPr>
        <w:t>8</w:t>
      </w:r>
      <w:r>
        <w:rPr>
          <w:szCs w:val="32"/>
        </w:rPr>
        <w:t>月</w:t>
      </w:r>
      <w:r>
        <w:rPr>
          <w:rFonts w:hint="eastAsia"/>
          <w:szCs w:val="32"/>
        </w:rPr>
        <w:t>底</w:t>
      </w:r>
      <w:r>
        <w:rPr>
          <w:szCs w:val="32"/>
        </w:rPr>
        <w:t>前，将纳入支持范围的主体名单及评审通过的《农事综合服务中心建设方案》以正式文件形式报送市农业农村委合作经济处。</w:t>
      </w:r>
    </w:p>
    <w:p w14:paraId="49001775">
      <w:pPr>
        <w:spacing w:line="560" w:lineRule="exact"/>
        <w:ind w:firstLine="616" w:firstLineChars="200"/>
        <w:rPr>
          <w:szCs w:val="32"/>
        </w:rPr>
      </w:pPr>
      <w:r>
        <w:rPr>
          <w:rFonts w:eastAsia="楷体_GB2312"/>
          <w:szCs w:val="32"/>
        </w:rPr>
        <w:t>（四）组织开展项目实施（11月30日前）。</w:t>
      </w:r>
      <w:r>
        <w:rPr>
          <w:szCs w:val="32"/>
        </w:rPr>
        <w:t>区农业农村委根据评审通过的主体名单和建设方案，组织主体开展项目建设。要建立健全项目实施管理机制，动态掌握项目实施进展，实现项目精细化管理，对发现影响项目建设进度和预期效果的重大问题应及时反馈市农业农村委合作经济处。</w:t>
      </w:r>
    </w:p>
    <w:p w14:paraId="0AFD8248">
      <w:pPr>
        <w:spacing w:line="560" w:lineRule="exact"/>
        <w:ind w:firstLine="616" w:firstLineChars="200"/>
        <w:rPr>
          <w:szCs w:val="32"/>
        </w:rPr>
      </w:pPr>
      <w:r>
        <w:rPr>
          <w:rFonts w:eastAsia="楷体_GB2312"/>
          <w:szCs w:val="32"/>
        </w:rPr>
        <w:t>（五）项目验收与综合评价（</w:t>
      </w:r>
      <w:r>
        <w:rPr>
          <w:rFonts w:hint="eastAsia" w:eastAsia="楷体_GB2312"/>
          <w:szCs w:val="32"/>
        </w:rPr>
        <w:t>2027年5月底</w:t>
      </w:r>
      <w:r>
        <w:rPr>
          <w:rFonts w:eastAsia="楷体_GB2312"/>
          <w:szCs w:val="32"/>
        </w:rPr>
        <w:t>前）。</w:t>
      </w:r>
      <w:r>
        <w:rPr>
          <w:szCs w:val="32"/>
        </w:rPr>
        <w:t>在项目建设完成后，由区农业农村委组织开展项目验收，具体程序参照《市农业农村委财政支出项目验收管理办法（试行）》（津农委计财〔2019〕125号）。在项目验收过程中发现问题的，限期整改，整改不到位的，收回已拨付的补助资金。在项目通过验收并持续运行后，区农业农村委按照“农事服务综合评价指标及评分标准”（附件3）开展综合评价，综合评价得分90分（含）以上的为“优”、90分-80分（含）的为“良”、80分-60分（含）为“中”、60分以下为“差”，依据评价情况兑现财政补助资金。</w:t>
      </w:r>
    </w:p>
    <w:p w14:paraId="0E576C62">
      <w:pPr>
        <w:spacing w:line="560" w:lineRule="exact"/>
        <w:ind w:firstLine="616" w:firstLineChars="200"/>
        <w:rPr>
          <w:rFonts w:eastAsia="黑体"/>
          <w:szCs w:val="32"/>
        </w:rPr>
      </w:pPr>
      <w:r>
        <w:rPr>
          <w:rFonts w:eastAsia="黑体"/>
          <w:szCs w:val="32"/>
        </w:rPr>
        <w:t>五、保障措施</w:t>
      </w:r>
    </w:p>
    <w:p w14:paraId="495F30BE">
      <w:pPr>
        <w:spacing w:line="560" w:lineRule="exact"/>
        <w:ind w:firstLine="616" w:firstLineChars="200"/>
        <w:rPr>
          <w:szCs w:val="32"/>
        </w:rPr>
      </w:pPr>
      <w:r>
        <w:rPr>
          <w:rFonts w:eastAsia="楷体_GB2312"/>
          <w:szCs w:val="32"/>
        </w:rPr>
        <w:t>（一）加强组织领导。</w:t>
      </w:r>
      <w:r>
        <w:rPr>
          <w:szCs w:val="32"/>
        </w:rPr>
        <w:t>各区农业农村委应高度重视农事综合服务中心建设和运营工作，明确目标任务和时间节点，确保各项工作有力有序推进。要主动协调有关部门和乡镇街道，加强农事综合服务中心建设常态化管理，认真落实建设要求和标准，确保建设运行效果。相关农业农村委应在年底前开展项目总结，梳理项目实施主要做法、取得成效及问题不足，形成年度工作总结，于12月31日前报送市农业农村委，相关数据材料同步填报上传农业农村部转移支付管理平台。</w:t>
      </w:r>
    </w:p>
    <w:p w14:paraId="035913CA">
      <w:pPr>
        <w:spacing w:line="560" w:lineRule="exact"/>
        <w:ind w:firstLine="616" w:firstLineChars="200"/>
        <w:rPr>
          <w:szCs w:val="32"/>
        </w:rPr>
      </w:pPr>
      <w:r>
        <w:rPr>
          <w:rFonts w:eastAsia="楷体_GB2312"/>
          <w:szCs w:val="32"/>
        </w:rPr>
        <w:t>（二）规范资金使用。</w:t>
      </w:r>
      <w:r>
        <w:rPr>
          <w:szCs w:val="32"/>
        </w:rPr>
        <w:t>相关区</w:t>
      </w:r>
      <w:r>
        <w:rPr>
          <w:rFonts w:hint="eastAsia"/>
          <w:szCs w:val="32"/>
        </w:rPr>
        <w:t>农业农村委</w:t>
      </w:r>
      <w:r>
        <w:rPr>
          <w:szCs w:val="32"/>
        </w:rPr>
        <w:t>要严格资金分配和使用，加强项目资金监管，严禁以拨代支、挤占挪用、虚报冒领，确保专款专用，保障财政资金安全有效运行。各区农业农村委要根据市级相关工作安排组织开展年度绩效自评和项目综合评价自评。市农业农村委对各区项目实施情况开展年度绩效评价，评价结果将作为兑付资金以及下一年度任务资金分配的重要依据。</w:t>
      </w:r>
    </w:p>
    <w:p w14:paraId="5012709D">
      <w:pPr>
        <w:spacing w:line="560" w:lineRule="exact"/>
        <w:ind w:firstLine="616" w:firstLineChars="200"/>
        <w:rPr>
          <w:szCs w:val="32"/>
        </w:rPr>
      </w:pPr>
      <w:r>
        <w:rPr>
          <w:rFonts w:eastAsia="楷体_GB2312"/>
          <w:szCs w:val="32"/>
        </w:rPr>
        <w:t>（三）强化监督管理。</w:t>
      </w:r>
      <w:r>
        <w:rPr>
          <w:szCs w:val="32"/>
        </w:rPr>
        <w:t>各区农业农村委要指导农事综合服务中心建立市场化运行与服务小农户及适度规模经营主体相结合的长效运行机制，认真履行服务协议，对未按承诺标准建设、运营的农事综合服务中心，应收回财政补助资金并会同市场监管等相关部门追究责任。</w:t>
      </w:r>
    </w:p>
    <w:p w14:paraId="0E85CFA6">
      <w:pPr>
        <w:spacing w:line="560" w:lineRule="exact"/>
        <w:ind w:firstLine="616" w:firstLineChars="200"/>
        <w:rPr>
          <w:szCs w:val="32"/>
        </w:rPr>
      </w:pPr>
    </w:p>
    <w:p w14:paraId="55913DA7">
      <w:pPr>
        <w:spacing w:line="560" w:lineRule="exact"/>
        <w:ind w:firstLine="616" w:firstLineChars="200"/>
        <w:rPr>
          <w:szCs w:val="32"/>
        </w:rPr>
      </w:pPr>
      <w:r>
        <w:rPr>
          <w:szCs w:val="32"/>
        </w:rPr>
        <w:t>附件：1.现代农事综合服务中心建设标准及功能清单</w:t>
      </w:r>
    </w:p>
    <w:p w14:paraId="67258EC1">
      <w:pPr>
        <w:spacing w:line="560" w:lineRule="exact"/>
        <w:ind w:firstLine="1540" w:firstLineChars="500"/>
        <w:rPr>
          <w:szCs w:val="32"/>
        </w:rPr>
      </w:pPr>
      <w:r>
        <w:rPr>
          <w:szCs w:val="32"/>
        </w:rPr>
        <w:t>2.农事综合服务中心建设方案（模板）</w:t>
      </w:r>
    </w:p>
    <w:p w14:paraId="27D7201F">
      <w:pPr>
        <w:spacing w:line="560" w:lineRule="exact"/>
        <w:ind w:firstLine="1540" w:firstLineChars="500"/>
        <w:rPr>
          <w:szCs w:val="32"/>
        </w:rPr>
      </w:pPr>
      <w:r>
        <w:rPr>
          <w:szCs w:val="32"/>
        </w:rPr>
        <w:t>3.农事服务综合评价指标及评分标准</w:t>
      </w:r>
    </w:p>
    <w:p w14:paraId="74089976">
      <w:pPr>
        <w:widowControl/>
        <w:spacing w:line="240" w:lineRule="auto"/>
        <w:jc w:val="left"/>
        <w:rPr>
          <w:szCs w:val="32"/>
        </w:rPr>
      </w:pPr>
      <w:r>
        <w:rPr>
          <w:szCs w:val="32"/>
        </w:rPr>
        <w:br w:type="page"/>
      </w:r>
    </w:p>
    <w:p w14:paraId="7FA7AFDD">
      <w:pPr>
        <w:spacing w:line="560" w:lineRule="exact"/>
        <w:outlineLvl w:val="0"/>
        <w:rPr>
          <w:rFonts w:eastAsia="黑体"/>
          <w:szCs w:val="32"/>
        </w:rPr>
      </w:pPr>
      <w:r>
        <w:rPr>
          <w:rFonts w:eastAsia="黑体"/>
          <w:szCs w:val="32"/>
        </w:rPr>
        <w:t>附件1</w:t>
      </w:r>
    </w:p>
    <w:p w14:paraId="1C8927DA">
      <w:pPr>
        <w:spacing w:line="560" w:lineRule="exact"/>
        <w:outlineLvl w:val="0"/>
        <w:rPr>
          <w:rFonts w:eastAsia="黑体"/>
          <w:szCs w:val="32"/>
        </w:rPr>
      </w:pPr>
    </w:p>
    <w:p w14:paraId="3F74CC75">
      <w:pPr>
        <w:spacing w:line="560" w:lineRule="exact"/>
        <w:jc w:val="center"/>
        <w:outlineLvl w:val="0"/>
        <w:rPr>
          <w:rFonts w:eastAsia="方正小标宋简体"/>
          <w:sz w:val="40"/>
          <w:szCs w:val="40"/>
        </w:rPr>
      </w:pPr>
      <w:r>
        <w:rPr>
          <w:rFonts w:eastAsia="方正小标宋简体"/>
          <w:sz w:val="40"/>
          <w:szCs w:val="40"/>
        </w:rPr>
        <w:t>现代农事综合服务中心建设标准及功能清单</w:t>
      </w:r>
    </w:p>
    <w:p w14:paraId="24E1AA8F">
      <w:pPr>
        <w:spacing w:line="560" w:lineRule="exact"/>
        <w:rPr>
          <w:szCs w:val="32"/>
        </w:rPr>
      </w:pPr>
    </w:p>
    <w:p w14:paraId="715ECF78">
      <w:pPr>
        <w:spacing w:line="560" w:lineRule="exact"/>
        <w:ind w:firstLine="616" w:firstLineChars="200"/>
        <w:rPr>
          <w:szCs w:val="32"/>
        </w:rPr>
      </w:pPr>
      <w:r>
        <w:rPr>
          <w:szCs w:val="32"/>
        </w:rPr>
        <w:t>农事综合服务中心功能体系涵盖农业产前、产中、产后全链条服务领域，包括集中育秧（苗）、农资配送、信息咨询与金融服务、农机作业、技术服务、防灾减灾、检验检测、烘干储存、产地加工、保鲜冷藏、物流配送、展示销售等12项功能。具体建设要求如下：</w:t>
      </w:r>
    </w:p>
    <w:p w14:paraId="25F52D82">
      <w:pPr>
        <w:spacing w:line="560" w:lineRule="exact"/>
        <w:ind w:firstLine="616" w:firstLineChars="200"/>
        <w:rPr>
          <w:rFonts w:eastAsia="黑体"/>
          <w:szCs w:val="32"/>
        </w:rPr>
      </w:pPr>
      <w:r>
        <w:rPr>
          <w:rFonts w:eastAsia="黑体"/>
          <w:szCs w:val="32"/>
        </w:rPr>
        <w:t>产前环节：</w:t>
      </w:r>
    </w:p>
    <w:p w14:paraId="12193C64">
      <w:pPr>
        <w:spacing w:line="560" w:lineRule="exact"/>
        <w:ind w:firstLine="619" w:firstLineChars="200"/>
        <w:rPr>
          <w:szCs w:val="32"/>
        </w:rPr>
      </w:pPr>
      <w:r>
        <w:rPr>
          <w:b/>
          <w:bCs/>
          <w:szCs w:val="32"/>
        </w:rPr>
        <w:t>1.集中育秧（苗）。</w:t>
      </w:r>
      <w:r>
        <w:rPr>
          <w:szCs w:val="32"/>
        </w:rPr>
        <w:t>以集约化、标准化、智能化为核心，依托现代化设施设备构建规模化育秧（苗）基地，重点完善温室大棚、温湿度调控、自动化播种、水肥一体化等基础设施，鼓励配套智能监测与物联网技术实现精准环境控制。注重品种优选、基质调配、病虫害绿色防控等关键技术集成应用，建立统一技术规程和质量标准。健全社会化服务体系，提供统一的播种、育苗（秧）服务，水稻集中供秧能力不低于1000亩，蔬菜集中供苗不低于100亩次。</w:t>
      </w:r>
    </w:p>
    <w:p w14:paraId="3096C4C9">
      <w:pPr>
        <w:spacing w:line="560" w:lineRule="exact"/>
        <w:ind w:firstLine="619" w:firstLineChars="200"/>
        <w:rPr>
          <w:szCs w:val="32"/>
        </w:rPr>
      </w:pPr>
      <w:r>
        <w:rPr>
          <w:b/>
          <w:bCs/>
          <w:szCs w:val="32"/>
        </w:rPr>
        <w:t>2.农资配送。</w:t>
      </w:r>
      <w:r>
        <w:rPr>
          <w:szCs w:val="32"/>
        </w:rPr>
        <w:t>提供种子</w:t>
      </w:r>
      <w:r>
        <w:rPr>
          <w:rFonts w:hint="eastAsia"/>
          <w:szCs w:val="32"/>
          <w:lang w:eastAsia="zh-CN"/>
        </w:rPr>
        <w:t>（</w:t>
      </w:r>
      <w:r>
        <w:rPr>
          <w:szCs w:val="32"/>
        </w:rPr>
        <w:t>种苗</w:t>
      </w:r>
      <w:r>
        <w:rPr>
          <w:rFonts w:hint="eastAsia"/>
          <w:szCs w:val="32"/>
          <w:lang w:eastAsia="zh-CN"/>
        </w:rPr>
        <w:t>）</w:t>
      </w:r>
      <w:r>
        <w:rPr>
          <w:szCs w:val="32"/>
        </w:rPr>
        <w:t>、肥料、农药、农膜等农资集中采购、统一配送服务。经营服务主体应具备从事农资配送经营活动的资质条件，拥有质量合格、品牌稳定的供货渠道，化肥、农药等农资配送应符合国家法律法规和相关管理规定。农资配送能力应能够满足1000亩农作物所需的各类农资。</w:t>
      </w:r>
    </w:p>
    <w:p w14:paraId="5667268F">
      <w:pPr>
        <w:spacing w:line="560" w:lineRule="exact"/>
        <w:ind w:firstLine="619" w:firstLineChars="200"/>
        <w:rPr>
          <w:rFonts w:eastAsia="黑体"/>
          <w:bCs/>
          <w:szCs w:val="32"/>
        </w:rPr>
      </w:pPr>
      <w:r>
        <w:rPr>
          <w:b/>
          <w:bCs/>
          <w:szCs w:val="32"/>
        </w:rPr>
        <w:t>3.信息咨询与金融服务。</w:t>
      </w:r>
      <w:r>
        <w:rPr>
          <w:szCs w:val="32"/>
        </w:rPr>
        <w:t>采用现场咨询、大屏幕显示、手机推送等方式，为农户和各类生产经营主体提供新品种发布、价格查询、产销对接、农业科普、农情教育、用工信息等多类别信息咨询服务。鼓励结合当地的农耕文化建设，推动实践教育资源共享，集成周边乡村旅游项目、文化节庆活动信息，提供游客接待、线路推荐和信息查询服务。鼓励同银行、保险等金融机构合作，提供信贷、担保、保险等各类金融服务。</w:t>
      </w:r>
    </w:p>
    <w:p w14:paraId="4C3E634D">
      <w:pPr>
        <w:adjustRightInd w:val="0"/>
        <w:snapToGrid w:val="0"/>
        <w:spacing w:line="560" w:lineRule="exact"/>
        <w:ind w:firstLine="616" w:firstLineChars="200"/>
        <w:rPr>
          <w:rFonts w:eastAsia="黑体"/>
          <w:bCs/>
          <w:szCs w:val="32"/>
        </w:rPr>
      </w:pPr>
      <w:r>
        <w:rPr>
          <w:rFonts w:eastAsia="黑体"/>
          <w:bCs/>
          <w:szCs w:val="32"/>
        </w:rPr>
        <w:t>产中环节</w:t>
      </w:r>
    </w:p>
    <w:p w14:paraId="71A9786D">
      <w:pPr>
        <w:adjustRightInd w:val="0"/>
        <w:snapToGrid w:val="0"/>
        <w:spacing w:line="560" w:lineRule="exact"/>
        <w:ind w:firstLine="619" w:firstLineChars="200"/>
        <w:rPr>
          <w:szCs w:val="32"/>
        </w:rPr>
      </w:pPr>
      <w:r>
        <w:rPr>
          <w:b/>
          <w:bCs/>
          <w:szCs w:val="32"/>
        </w:rPr>
        <w:t>4.农机作业。</w:t>
      </w:r>
      <w:r>
        <w:rPr>
          <w:szCs w:val="32"/>
        </w:rPr>
        <w:t>粮食全程机械化作业服务应包括耕、种、防、收环节，原则上覆盖5000亩以上或年累计服务面积1万亩次以上。蔬菜、林果、畜牧、水产等其他产业应能提供不少于2个环节的机械化作业服务，服务范围应覆盖1个乡镇以上。配置与机械化作业服务相匹配的农机具，原则上应配置大中型拖拉机不少于3台（套），水田应配备高速插秧机不少于5台（套），联合收割机不少于3台（套）。纳入农事综合服务中心统一调度管理的农机具可计入机具总数，提供的机械化作业服务也可纳入全程机械化作业服务。鼓励购置大中型、成套农机装备，绿色低碳、智能化农机装备，以及适用于设施条件下的专用农机装备。</w:t>
      </w:r>
    </w:p>
    <w:p w14:paraId="22C1C376">
      <w:pPr>
        <w:adjustRightInd w:val="0"/>
        <w:snapToGrid w:val="0"/>
        <w:spacing w:line="560" w:lineRule="exact"/>
        <w:ind w:firstLine="619" w:firstLineChars="200"/>
        <w:rPr>
          <w:szCs w:val="32"/>
        </w:rPr>
      </w:pPr>
      <w:r>
        <w:rPr>
          <w:b/>
          <w:bCs/>
          <w:szCs w:val="32"/>
        </w:rPr>
        <w:t>5.技术服务。</w:t>
      </w:r>
      <w:r>
        <w:rPr>
          <w:szCs w:val="32"/>
        </w:rPr>
        <w:t>具有固定的培训场所，一次性可组织不少于30人的培训活动。结合农事时令，提供技术培训、技术咨询、科学施肥、统防统治、田间诊断等服务，种类应不少于2类，年均服务面积大田应大于10000亩、蔬菜应大于500亩。鼓励开展新技术新产品试验示范、田间培训等综合服务。整合农技推广机构、科研院所、高校等资源，组建专家咨询指导团队，不定期开展技术培训、技术指导等活动。</w:t>
      </w:r>
    </w:p>
    <w:p w14:paraId="59F5F62A">
      <w:pPr>
        <w:adjustRightInd w:val="0"/>
        <w:snapToGrid w:val="0"/>
        <w:spacing w:line="560" w:lineRule="exact"/>
        <w:ind w:firstLine="619" w:firstLineChars="200"/>
        <w:rPr>
          <w:szCs w:val="32"/>
        </w:rPr>
      </w:pPr>
      <w:r>
        <w:rPr>
          <w:b/>
          <w:bCs/>
          <w:szCs w:val="32"/>
        </w:rPr>
        <w:t>6.防灾减灾。</w:t>
      </w:r>
      <w:r>
        <w:rPr>
          <w:szCs w:val="32"/>
        </w:rPr>
        <w:t>设立专门窗口，采用专业人员与AI技术相结合的方式，为周边农户提供</w:t>
      </w:r>
      <w:bookmarkStart w:id="1" w:name="_GoBack"/>
      <w:bookmarkEnd w:id="1"/>
      <w:r>
        <w:rPr>
          <w:szCs w:val="32"/>
        </w:rPr>
        <w:t>农田墒情、虫情预警、气象预报预警等各信息发布服务，通过移动App、短信、广播等多渠道向农户推送应急指南。储备种子、农药、化肥、饲料等应急物资，提供补种改种方案、土壤修复技术、病虫害二次防控措施。组织农户学习防灾技能、应急设备操作等。</w:t>
      </w:r>
    </w:p>
    <w:p w14:paraId="75C8FD80">
      <w:pPr>
        <w:adjustRightInd w:val="0"/>
        <w:snapToGrid w:val="0"/>
        <w:spacing w:line="560" w:lineRule="exact"/>
        <w:ind w:firstLine="619" w:firstLineChars="200"/>
        <w:rPr>
          <w:szCs w:val="32"/>
        </w:rPr>
      </w:pPr>
      <w:r>
        <w:rPr>
          <w:b/>
          <w:bCs/>
          <w:szCs w:val="32"/>
        </w:rPr>
        <w:t>7.检验检测。</w:t>
      </w:r>
      <w:r>
        <w:rPr>
          <w:szCs w:val="32"/>
        </w:rPr>
        <w:t>建设以农产品质量安全快速检测以及食用农产品承诺达标合格证自助开具为核心，兼顾科普宣传、质量追溯、网格化监管等综合性服务功能的农产品质量安全快速检测服务站点。需配备检测设备包括前处理设备（离心机、恒温水浴锅、样品浓缩仪、涡旋振荡器、样品粉碎机）、电子天平、农药残留快速检测仪、兽药残留快速检测仪、食用农产品承诺达标合格证出证一体机以及相关网络通信设备等，具备专职检测人员，建立内部质量管控措施，能够为服务对象及周边农户提供全生长周期检测支持，并与天津市放心农产品质量安全监管平台对接，检测数据实时上传，实现抽样、检测、溯源、食用农产品承诺达标合格证出证一体化操作和数字化管理。</w:t>
      </w:r>
    </w:p>
    <w:p w14:paraId="3B4DDDC3">
      <w:pPr>
        <w:adjustRightInd w:val="0"/>
        <w:snapToGrid w:val="0"/>
        <w:spacing w:line="560" w:lineRule="exact"/>
        <w:ind w:firstLine="616" w:firstLineChars="200"/>
        <w:rPr>
          <w:rFonts w:eastAsia="黑体"/>
          <w:bCs/>
          <w:szCs w:val="32"/>
        </w:rPr>
      </w:pPr>
      <w:r>
        <w:rPr>
          <w:rFonts w:eastAsia="黑体"/>
          <w:bCs/>
          <w:szCs w:val="32"/>
        </w:rPr>
        <w:t>产后环节</w:t>
      </w:r>
    </w:p>
    <w:p w14:paraId="6C8B23FC">
      <w:pPr>
        <w:adjustRightInd w:val="0"/>
        <w:snapToGrid w:val="0"/>
        <w:spacing w:line="560" w:lineRule="exact"/>
        <w:ind w:firstLine="619" w:firstLineChars="200"/>
        <w:rPr>
          <w:szCs w:val="32"/>
        </w:rPr>
      </w:pPr>
      <w:r>
        <w:rPr>
          <w:b/>
          <w:bCs/>
          <w:szCs w:val="32"/>
        </w:rPr>
        <w:t>8.烘干储存。</w:t>
      </w:r>
      <w:r>
        <w:rPr>
          <w:szCs w:val="32"/>
        </w:rPr>
        <w:t>以高效节能、智能化管理为核心，建设标准化烘干中心与仓储库房，集成温湿度精准调控、水分实时监测、自动化分拣及品质检测等技术，保障农产品干燥均匀性与储存稳定性。鼓励配套信息化管理系统，实现烘干、仓储全流程动态监控与数据溯源，对接加工销售环节，提升减损保质能力，确保农产品品质安全与市场供应韧性。稻麦批次烘干能力应不小于50吨，年烘干稻麦应不小于2000吨。粮油种子和其他农产品的批次烘干能力应能满足生产服务需要。鼓励与粮食收储部门合作，共同设立粮食检测点，开展粮食代收、代烘、代销或代储等便民服务。</w:t>
      </w:r>
    </w:p>
    <w:p w14:paraId="2962BC60">
      <w:pPr>
        <w:adjustRightInd w:val="0"/>
        <w:snapToGrid w:val="0"/>
        <w:spacing w:line="560" w:lineRule="exact"/>
        <w:ind w:firstLine="619" w:firstLineChars="200"/>
        <w:rPr>
          <w:szCs w:val="32"/>
        </w:rPr>
      </w:pPr>
      <w:r>
        <w:rPr>
          <w:b/>
          <w:bCs/>
          <w:szCs w:val="32"/>
        </w:rPr>
        <w:t>9.产地加工。</w:t>
      </w:r>
      <w:r>
        <w:rPr>
          <w:szCs w:val="32"/>
        </w:rPr>
        <w:t>重点配置分选、清洗、分级、包装等自动化生产线，集成智能分拣、无损检测、精准控温及保鲜锁鲜技术，强化初加工与精深加工衔接。设计与施工应符合相关标准规范要求，鼓励配置满足分等定级、分仓储存、分类加工等市场需求的设备，完善质量安全控制体系，推动加工工艺规范化。鼓励采用数字化管理，应用物联网与生产数据追溯系统，实现加工过程可视化与品质可控，降低损耗率，增强产地加工增值能力和市场竞争力。粮食年加工量应不小于1000吨，种子和其他农产品年加工能力应能满足当地生产需要。</w:t>
      </w:r>
    </w:p>
    <w:p w14:paraId="5AC64893">
      <w:pPr>
        <w:adjustRightInd w:val="0"/>
        <w:snapToGrid w:val="0"/>
        <w:spacing w:line="560" w:lineRule="exact"/>
        <w:ind w:firstLine="619" w:firstLineChars="200"/>
        <w:rPr>
          <w:szCs w:val="32"/>
        </w:rPr>
      </w:pPr>
      <w:r>
        <w:rPr>
          <w:b/>
          <w:bCs/>
          <w:szCs w:val="32"/>
        </w:rPr>
        <w:t>10.保鲜冷藏。</w:t>
      </w:r>
      <w:r>
        <w:rPr>
          <w:szCs w:val="32"/>
        </w:rPr>
        <w:t>建设需选址安全、结构稳固，采用高效环保制冷系统与高精度温湿度控制技术，配备智能监测及报警装置，确保库内环境稳定。建筑需具备保温隔热、防潮防火设计，应用太阳能等节能技术降低能耗。分类存储不同农产品，严格遵循食品安全标准，同步建设消防应急体系与信息化管理平台，并符合国家绿色认证与政策补贴要求，以实现减损保鲜、品质可控及低碳运营。</w:t>
      </w:r>
    </w:p>
    <w:p w14:paraId="43236F98">
      <w:pPr>
        <w:adjustRightInd w:val="0"/>
        <w:snapToGrid w:val="0"/>
        <w:spacing w:line="560" w:lineRule="exact"/>
        <w:ind w:firstLine="619" w:firstLineChars="200"/>
        <w:rPr>
          <w:szCs w:val="32"/>
        </w:rPr>
      </w:pPr>
      <w:r>
        <w:rPr>
          <w:b/>
          <w:bCs/>
          <w:szCs w:val="32"/>
        </w:rPr>
        <w:t>11.物流配送。</w:t>
      </w:r>
      <w:r>
        <w:rPr>
          <w:szCs w:val="32"/>
        </w:rPr>
        <w:t>建设需依托高效冷链体系，配备多温层运输车辆及智能调度系统，应用GPS与物联网实时监控温湿度、位置及货物状态。优化仓储中转节点布局，缩短运输半径，采用环保防震包装材料降低损耗。完善装卸自动化设备与清洗消毒流程，保障食品安全。同步集成应急响应机制，应对极端天气与设备故障，推广新能源运输工具减少碳排放，并符合绿色物流认证及地方政策标准，实现全程可追溯、高时效、低成本的农产品流通网络。</w:t>
      </w:r>
    </w:p>
    <w:p w14:paraId="55EDC4CB">
      <w:pPr>
        <w:adjustRightInd w:val="0"/>
        <w:snapToGrid w:val="0"/>
        <w:spacing w:line="560" w:lineRule="exact"/>
        <w:ind w:firstLine="619" w:firstLineChars="200"/>
        <w:rPr>
          <w:szCs w:val="32"/>
        </w:rPr>
      </w:pPr>
      <w:r>
        <w:rPr>
          <w:b/>
          <w:bCs/>
          <w:szCs w:val="32"/>
        </w:rPr>
        <w:t>12.产品销售。</w:t>
      </w:r>
      <w:r>
        <w:rPr>
          <w:szCs w:val="32"/>
        </w:rPr>
        <w:t>鼓励农事服务中心发展标准化、订单化农产品直供配送模式，应设有货架、货柜或展示柜，鼓励配备信息化终端，在线提供农产品展示、体验等服务，搭建产销对接平台。年均为服务对象销售农产品金额在500万元以上。</w:t>
      </w:r>
    </w:p>
    <w:p w14:paraId="690FB6C1">
      <w:pPr>
        <w:pStyle w:val="3"/>
        <w:spacing w:line="560" w:lineRule="exact"/>
        <w:ind w:firstLine="0"/>
        <w:rPr>
          <w:rFonts w:eastAsia="黑体"/>
          <w:szCs w:val="32"/>
        </w:rPr>
      </w:pPr>
    </w:p>
    <w:p w14:paraId="4B043821">
      <w:pPr>
        <w:pStyle w:val="3"/>
        <w:spacing w:line="560" w:lineRule="exact"/>
        <w:ind w:firstLine="0"/>
        <w:rPr>
          <w:rFonts w:eastAsia="黑体"/>
          <w:szCs w:val="32"/>
        </w:rPr>
      </w:pPr>
    </w:p>
    <w:p w14:paraId="40095A61">
      <w:pPr>
        <w:pStyle w:val="3"/>
        <w:spacing w:line="560" w:lineRule="exact"/>
        <w:ind w:firstLine="0"/>
        <w:rPr>
          <w:rFonts w:eastAsia="黑体"/>
          <w:szCs w:val="32"/>
        </w:rPr>
      </w:pPr>
    </w:p>
    <w:p w14:paraId="50442206">
      <w:pPr>
        <w:pStyle w:val="3"/>
        <w:spacing w:line="560" w:lineRule="exact"/>
        <w:ind w:firstLine="0"/>
        <w:rPr>
          <w:rFonts w:eastAsia="黑体"/>
          <w:szCs w:val="32"/>
        </w:rPr>
      </w:pPr>
    </w:p>
    <w:p w14:paraId="19B7118A">
      <w:pPr>
        <w:pStyle w:val="3"/>
        <w:spacing w:line="560" w:lineRule="exact"/>
        <w:ind w:firstLine="0"/>
        <w:rPr>
          <w:rFonts w:eastAsia="黑体"/>
          <w:szCs w:val="32"/>
        </w:rPr>
      </w:pPr>
    </w:p>
    <w:p w14:paraId="4EC11A80">
      <w:pPr>
        <w:pStyle w:val="3"/>
        <w:spacing w:line="560" w:lineRule="exact"/>
        <w:ind w:firstLine="0"/>
        <w:rPr>
          <w:rFonts w:eastAsia="黑体"/>
          <w:szCs w:val="32"/>
        </w:rPr>
      </w:pPr>
    </w:p>
    <w:p w14:paraId="6AD425C6">
      <w:pPr>
        <w:pStyle w:val="3"/>
        <w:spacing w:line="560" w:lineRule="exact"/>
        <w:ind w:firstLine="0"/>
        <w:rPr>
          <w:rFonts w:eastAsia="黑体"/>
          <w:szCs w:val="32"/>
        </w:rPr>
      </w:pPr>
    </w:p>
    <w:p w14:paraId="69D149AA">
      <w:pPr>
        <w:pStyle w:val="3"/>
        <w:spacing w:line="560" w:lineRule="exact"/>
        <w:ind w:firstLine="0"/>
        <w:rPr>
          <w:rFonts w:eastAsia="黑体"/>
          <w:szCs w:val="32"/>
        </w:rPr>
      </w:pPr>
    </w:p>
    <w:p w14:paraId="3E67A8F3">
      <w:pPr>
        <w:pStyle w:val="3"/>
        <w:spacing w:line="560" w:lineRule="exact"/>
        <w:ind w:firstLine="0"/>
        <w:rPr>
          <w:rFonts w:eastAsia="黑体"/>
          <w:szCs w:val="32"/>
        </w:rPr>
      </w:pPr>
    </w:p>
    <w:p w14:paraId="7D45E041">
      <w:pPr>
        <w:pStyle w:val="3"/>
        <w:spacing w:line="560" w:lineRule="exact"/>
        <w:ind w:firstLine="0"/>
        <w:rPr>
          <w:rFonts w:eastAsia="黑体"/>
          <w:szCs w:val="32"/>
        </w:rPr>
      </w:pPr>
    </w:p>
    <w:p w14:paraId="5373D881">
      <w:pPr>
        <w:pStyle w:val="3"/>
        <w:spacing w:line="560" w:lineRule="exact"/>
        <w:ind w:firstLine="0"/>
        <w:rPr>
          <w:rFonts w:eastAsia="黑体"/>
          <w:szCs w:val="32"/>
        </w:rPr>
      </w:pPr>
    </w:p>
    <w:p w14:paraId="758F24ED">
      <w:pPr>
        <w:pStyle w:val="3"/>
        <w:spacing w:line="560" w:lineRule="exact"/>
        <w:ind w:firstLine="0"/>
        <w:rPr>
          <w:rFonts w:eastAsia="黑体"/>
          <w:b/>
          <w:bCs/>
          <w:color w:val="000000"/>
          <w:kern w:val="0"/>
          <w:szCs w:val="32"/>
        </w:rPr>
      </w:pPr>
      <w:r>
        <w:rPr>
          <w:rFonts w:eastAsia="黑体"/>
          <w:szCs w:val="32"/>
        </w:rPr>
        <w:t>附件2</w:t>
      </w:r>
      <w:r>
        <w:rPr>
          <w:rFonts w:eastAsia="黑体"/>
          <w:szCs w:val="32"/>
        </w:rPr>
        <w:fldChar w:fldCharType="begin"/>
      </w:r>
      <w:r>
        <w:rPr>
          <w:rFonts w:eastAsia="黑体"/>
          <w:szCs w:val="32"/>
        </w:rPr>
        <w:instrText xml:space="preserve">ADDIN CNKISM.UserStyle</w:instrText>
      </w:r>
      <w:r>
        <w:rPr>
          <w:rFonts w:eastAsia="黑体"/>
          <w:szCs w:val="32"/>
        </w:rPr>
        <w:fldChar w:fldCharType="end"/>
      </w:r>
    </w:p>
    <w:p w14:paraId="5242A715">
      <w:pPr>
        <w:spacing w:line="560" w:lineRule="exact"/>
        <w:rPr>
          <w:rFonts w:eastAsia="华文中宋"/>
          <w:b/>
          <w:bCs/>
          <w:sz w:val="52"/>
          <w:szCs w:val="52"/>
        </w:rPr>
      </w:pPr>
    </w:p>
    <w:p w14:paraId="115A3F02">
      <w:pPr>
        <w:spacing w:line="560" w:lineRule="exact"/>
        <w:jc w:val="center"/>
        <w:outlineLvl w:val="0"/>
        <w:rPr>
          <w:rFonts w:eastAsia="华文中宋"/>
          <w:b/>
          <w:bCs/>
          <w:sz w:val="52"/>
          <w:szCs w:val="52"/>
        </w:rPr>
      </w:pPr>
      <w:r>
        <w:rPr>
          <w:rFonts w:eastAsia="华文中宋"/>
          <w:b/>
          <w:bCs/>
          <w:sz w:val="52"/>
          <w:szCs w:val="52"/>
        </w:rPr>
        <w:t>天津市农事综合服务中心建设方案</w:t>
      </w:r>
    </w:p>
    <w:p w14:paraId="55AFC554">
      <w:pPr>
        <w:spacing w:line="560" w:lineRule="exact"/>
        <w:jc w:val="center"/>
        <w:outlineLvl w:val="0"/>
        <w:rPr>
          <w:rFonts w:eastAsia="华文中宋"/>
          <w:b/>
          <w:bCs/>
          <w:sz w:val="36"/>
          <w:szCs w:val="36"/>
        </w:rPr>
      </w:pPr>
      <w:r>
        <w:rPr>
          <w:rFonts w:eastAsia="华文中宋"/>
          <w:b/>
          <w:bCs/>
          <w:sz w:val="36"/>
          <w:szCs w:val="36"/>
        </w:rPr>
        <w:t>（模板）</w:t>
      </w:r>
    </w:p>
    <w:p w14:paraId="19356BB5">
      <w:pPr>
        <w:spacing w:line="560" w:lineRule="exact"/>
        <w:rPr>
          <w:rFonts w:eastAsia="华文中宋"/>
          <w:b/>
          <w:bCs/>
          <w:sz w:val="48"/>
          <w:szCs w:val="48"/>
        </w:rPr>
      </w:pPr>
    </w:p>
    <w:p w14:paraId="16132928">
      <w:pPr>
        <w:spacing w:line="560" w:lineRule="exact"/>
        <w:rPr>
          <w:rFonts w:eastAsia="华文中宋"/>
          <w:b/>
          <w:bCs/>
          <w:sz w:val="36"/>
          <w:szCs w:val="36"/>
        </w:rPr>
      </w:pPr>
      <w:r>
        <w:rPr>
          <w:rFonts w:eastAsia="华文中宋"/>
          <w:b/>
          <w:bCs/>
          <w:sz w:val="36"/>
          <w:szCs w:val="36"/>
        </w:rPr>
        <w:t xml:space="preserve"> </w:t>
      </w:r>
    </w:p>
    <w:p w14:paraId="3A380F6C">
      <w:pPr>
        <w:spacing w:line="560" w:lineRule="exact"/>
        <w:rPr>
          <w:rFonts w:eastAsia="华文中宋"/>
          <w:b/>
          <w:bCs/>
          <w:sz w:val="36"/>
          <w:szCs w:val="36"/>
        </w:rPr>
      </w:pPr>
      <w:r>
        <w:rPr>
          <w:rFonts w:eastAsia="华文中宋"/>
          <w:b/>
          <w:bCs/>
          <w:sz w:val="36"/>
          <w:szCs w:val="36"/>
        </w:rPr>
        <w:t xml:space="preserve"> </w:t>
      </w:r>
    </w:p>
    <w:p w14:paraId="2203FDD0">
      <w:pPr>
        <w:spacing w:line="560" w:lineRule="exact"/>
        <w:rPr>
          <w:rFonts w:eastAsia="华文中宋"/>
          <w:b/>
          <w:bCs/>
          <w:sz w:val="36"/>
          <w:szCs w:val="36"/>
        </w:rPr>
      </w:pPr>
      <w:r>
        <w:rPr>
          <w:rFonts w:eastAsia="华文中宋"/>
          <w:b/>
          <w:bCs/>
          <w:sz w:val="36"/>
          <w:szCs w:val="36"/>
        </w:rPr>
        <w:t xml:space="preserve"> </w:t>
      </w:r>
    </w:p>
    <w:p w14:paraId="2FB017D9">
      <w:pPr>
        <w:spacing w:line="560" w:lineRule="exact"/>
        <w:rPr>
          <w:rFonts w:eastAsia="华文中宋"/>
          <w:b/>
          <w:bCs/>
          <w:sz w:val="36"/>
          <w:szCs w:val="36"/>
        </w:rPr>
      </w:pPr>
    </w:p>
    <w:p w14:paraId="299448D8">
      <w:pPr>
        <w:spacing w:line="560" w:lineRule="exact"/>
        <w:rPr>
          <w:rFonts w:eastAsia="华文中宋"/>
          <w:b/>
          <w:bCs/>
          <w:sz w:val="36"/>
          <w:szCs w:val="36"/>
        </w:rPr>
      </w:pPr>
    </w:p>
    <w:p w14:paraId="49EBBBA1">
      <w:pPr>
        <w:spacing w:line="560" w:lineRule="exact"/>
        <w:rPr>
          <w:rFonts w:eastAsia="华文中宋"/>
          <w:b/>
          <w:bCs/>
          <w:sz w:val="36"/>
          <w:szCs w:val="36"/>
        </w:rPr>
      </w:pPr>
    </w:p>
    <w:p w14:paraId="7737CAEC">
      <w:pPr>
        <w:spacing w:line="560" w:lineRule="exact"/>
        <w:ind w:firstLine="1023" w:firstLineChars="294"/>
        <w:rPr>
          <w:sz w:val="36"/>
          <w:szCs w:val="36"/>
          <w:u w:val="single"/>
        </w:rPr>
      </w:pPr>
      <w:r>
        <w:rPr>
          <w:sz w:val="36"/>
          <w:szCs w:val="36"/>
        </w:rPr>
        <w:t>项目名称：</w:t>
      </w:r>
      <w:r>
        <w:rPr>
          <w:sz w:val="36"/>
          <w:szCs w:val="36"/>
          <w:u w:val="single"/>
        </w:rPr>
        <w:t xml:space="preserve">                          </w:t>
      </w:r>
    </w:p>
    <w:p w14:paraId="43D705B2">
      <w:pPr>
        <w:spacing w:line="560" w:lineRule="exact"/>
        <w:ind w:firstLine="1023" w:firstLineChars="294"/>
        <w:rPr>
          <w:sz w:val="36"/>
          <w:szCs w:val="36"/>
          <w:u w:val="single"/>
        </w:rPr>
      </w:pPr>
      <w:r>
        <w:rPr>
          <w:sz w:val="36"/>
          <w:szCs w:val="36"/>
        </w:rPr>
        <w:t>建设主体：</w:t>
      </w:r>
      <w:r>
        <w:rPr>
          <w:sz w:val="36"/>
          <w:szCs w:val="36"/>
          <w:u w:val="single"/>
        </w:rPr>
        <w:t xml:space="preserve">                          </w:t>
      </w:r>
    </w:p>
    <w:p w14:paraId="5F959E60">
      <w:pPr>
        <w:pStyle w:val="3"/>
        <w:spacing w:line="560" w:lineRule="exact"/>
        <w:ind w:firstLine="1023" w:firstLineChars="294"/>
        <w:rPr>
          <w:u w:val="single"/>
        </w:rPr>
      </w:pPr>
      <w:r>
        <w:rPr>
          <w:rFonts w:eastAsia="仿宋_GB2312"/>
          <w:sz w:val="36"/>
          <w:szCs w:val="36"/>
        </w:rPr>
        <w:t>主管单位：</w:t>
      </w:r>
      <w:r>
        <w:rPr>
          <w:rFonts w:eastAsia="仿宋_GB2312"/>
          <w:sz w:val="36"/>
          <w:szCs w:val="36"/>
          <w:u w:val="single"/>
        </w:rPr>
        <w:t>天津市****区农业农村委员会</w:t>
      </w:r>
    </w:p>
    <w:p w14:paraId="64703441">
      <w:pPr>
        <w:spacing w:line="560" w:lineRule="exact"/>
        <w:rPr>
          <w:rFonts w:eastAsia="华文中宋"/>
          <w:b/>
          <w:bCs/>
          <w:sz w:val="36"/>
          <w:szCs w:val="36"/>
        </w:rPr>
      </w:pPr>
    </w:p>
    <w:p w14:paraId="5ABEDE57">
      <w:pPr>
        <w:spacing w:line="560" w:lineRule="exact"/>
        <w:rPr>
          <w:rFonts w:eastAsia="华文中宋"/>
          <w:b/>
          <w:bCs/>
          <w:sz w:val="36"/>
          <w:szCs w:val="36"/>
        </w:rPr>
      </w:pPr>
      <w:r>
        <w:rPr>
          <w:rFonts w:eastAsia="华文中宋"/>
          <w:b/>
          <w:bCs/>
          <w:sz w:val="36"/>
          <w:szCs w:val="36"/>
        </w:rPr>
        <w:t xml:space="preserve"> </w:t>
      </w:r>
    </w:p>
    <w:p w14:paraId="1444D640">
      <w:pPr>
        <w:pStyle w:val="3"/>
        <w:spacing w:line="560" w:lineRule="exact"/>
      </w:pPr>
    </w:p>
    <w:p w14:paraId="1C29BF42">
      <w:pPr>
        <w:spacing w:line="560" w:lineRule="exact"/>
        <w:jc w:val="center"/>
        <w:rPr>
          <w:rFonts w:eastAsia="黑体"/>
          <w:szCs w:val="32"/>
        </w:rPr>
      </w:pPr>
      <w:r>
        <w:rPr>
          <w:rFonts w:eastAsia="楷体_GB2312"/>
          <w:b/>
          <w:bCs/>
          <w:sz w:val="36"/>
          <w:szCs w:val="36"/>
        </w:rPr>
        <w:t>2026年**月**日</w:t>
      </w:r>
    </w:p>
    <w:p w14:paraId="53E45809">
      <w:pPr>
        <w:spacing w:line="560" w:lineRule="exact"/>
        <w:ind w:firstLine="616" w:firstLineChars="200"/>
        <w:rPr>
          <w:rFonts w:eastAsia="黑体"/>
          <w:szCs w:val="32"/>
        </w:rPr>
        <w:sectPr>
          <w:footerReference r:id="rId5" w:type="default"/>
          <w:footerReference r:id="rId6" w:type="even"/>
          <w:pgSz w:w="11906" w:h="16838"/>
          <w:pgMar w:top="2098" w:right="1474" w:bottom="1985" w:left="1588" w:header="851" w:footer="992" w:gutter="0"/>
          <w:cols w:space="720" w:num="1"/>
          <w:docGrid w:type="lines" w:linePitch="435" w:charSpace="0"/>
        </w:sectPr>
      </w:pPr>
    </w:p>
    <w:p w14:paraId="24DBC96A">
      <w:pPr>
        <w:spacing w:line="560" w:lineRule="exact"/>
        <w:ind w:firstLine="616" w:firstLineChars="200"/>
        <w:rPr>
          <w:rFonts w:eastAsia="黑体"/>
          <w:szCs w:val="32"/>
        </w:rPr>
      </w:pPr>
      <w:r>
        <w:rPr>
          <w:rFonts w:eastAsia="黑体"/>
          <w:szCs w:val="32"/>
        </w:rPr>
        <w:t>一、建设主体基本情况</w:t>
      </w:r>
    </w:p>
    <w:p w14:paraId="09BFFB36">
      <w:pPr>
        <w:spacing w:line="560" w:lineRule="exact"/>
        <w:ind w:firstLine="616" w:firstLineChars="200"/>
        <w:rPr>
          <w:szCs w:val="32"/>
        </w:rPr>
      </w:pPr>
      <w:r>
        <w:rPr>
          <w:szCs w:val="32"/>
        </w:rPr>
        <w:t>申报建设主体的简要介绍，包括主体名称、主体性质、所在区位、基础条件（场地条件、设施装备条件、人员条件）、已开展的综合服务事项、服务范围和面积、带动农户模式和数量等。</w:t>
      </w:r>
    </w:p>
    <w:p w14:paraId="772EC38D">
      <w:pPr>
        <w:spacing w:line="560" w:lineRule="exact"/>
        <w:ind w:firstLine="616" w:firstLineChars="200"/>
        <w:rPr>
          <w:rFonts w:eastAsia="黑体"/>
          <w:szCs w:val="32"/>
        </w:rPr>
      </w:pPr>
      <w:r>
        <w:rPr>
          <w:rFonts w:eastAsia="黑体"/>
          <w:szCs w:val="32"/>
        </w:rPr>
        <w:t>二、建设选址和区域产业基本情况</w:t>
      </w:r>
    </w:p>
    <w:p w14:paraId="38685C58">
      <w:pPr>
        <w:pStyle w:val="3"/>
        <w:spacing w:line="560" w:lineRule="exact"/>
        <w:ind w:firstLine="616" w:firstLineChars="200"/>
        <w:rPr>
          <w:rFonts w:eastAsia="仿宋_GB2312"/>
          <w:szCs w:val="32"/>
        </w:rPr>
      </w:pPr>
      <w:r>
        <w:rPr>
          <w:rFonts w:eastAsia="仿宋_GB2312"/>
          <w:szCs w:val="32"/>
        </w:rPr>
        <w:t>农事综合服务中心选址地点，以及所处区域产业发展基本情况，包括主导产业情况、高标准农田建设情况、配套设施情况、主导产业经营主体情况、品牌建设情况、农产品销售情况等。</w:t>
      </w:r>
    </w:p>
    <w:p w14:paraId="32B66735">
      <w:pPr>
        <w:spacing w:line="560" w:lineRule="exact"/>
        <w:ind w:firstLine="616" w:firstLineChars="200"/>
        <w:rPr>
          <w:rFonts w:eastAsia="黑体"/>
          <w:szCs w:val="32"/>
        </w:rPr>
      </w:pPr>
      <w:r>
        <w:rPr>
          <w:rFonts w:eastAsia="黑体"/>
          <w:szCs w:val="32"/>
        </w:rPr>
        <w:t>三、建设内容和资金估算</w:t>
      </w:r>
    </w:p>
    <w:p w14:paraId="393FAC66">
      <w:pPr>
        <w:spacing w:line="560" w:lineRule="exact"/>
        <w:ind w:firstLine="616" w:firstLineChars="200"/>
        <w:rPr>
          <w:szCs w:val="32"/>
        </w:rPr>
      </w:pPr>
      <w:r>
        <w:rPr>
          <w:szCs w:val="32"/>
        </w:rPr>
        <w:t>描述本农事综合服务中心建成后的功能定位，围绕《建设方案》中建设内容所包含的12项功能进行功能强化和补充，并按照资金适用范围逐项列明具体建设内容、所需建设资金和资金来源。</w:t>
      </w:r>
    </w:p>
    <w:p w14:paraId="678BBED6">
      <w:pPr>
        <w:adjustRightInd w:val="0"/>
        <w:snapToGrid w:val="0"/>
        <w:spacing w:line="560" w:lineRule="exact"/>
        <w:jc w:val="center"/>
        <w:rPr>
          <w:rFonts w:eastAsia="黑体"/>
          <w:sz w:val="28"/>
          <w:szCs w:val="28"/>
        </w:rPr>
      </w:pPr>
      <w:r>
        <w:rPr>
          <w:rFonts w:eastAsia="黑体"/>
          <w:sz w:val="28"/>
          <w:szCs w:val="28"/>
        </w:rPr>
        <w:t>建设投资估算表</w:t>
      </w:r>
    </w:p>
    <w:tbl>
      <w:tblPr>
        <w:tblStyle w:val="7"/>
        <w:tblW w:w="9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941"/>
        <w:gridCol w:w="900"/>
        <w:gridCol w:w="3091"/>
        <w:gridCol w:w="1396"/>
        <w:gridCol w:w="913"/>
        <w:gridCol w:w="914"/>
      </w:tblGrid>
      <w:tr w14:paraId="24B2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restart"/>
            <w:vAlign w:val="center"/>
          </w:tcPr>
          <w:p w14:paraId="2F8D0B17">
            <w:pPr>
              <w:pStyle w:val="3"/>
              <w:spacing w:line="560" w:lineRule="exact"/>
              <w:ind w:firstLine="0"/>
              <w:rPr>
                <w:rFonts w:ascii="黑体" w:hAnsi="黑体" w:eastAsia="黑体"/>
                <w:szCs w:val="21"/>
              </w:rPr>
            </w:pPr>
            <w:r>
              <w:rPr>
                <w:rFonts w:ascii="黑体" w:hAnsi="黑体" w:eastAsia="黑体"/>
                <w:szCs w:val="21"/>
              </w:rPr>
              <w:t>中心</w:t>
            </w:r>
          </w:p>
          <w:p w14:paraId="3185FF27">
            <w:pPr>
              <w:pStyle w:val="3"/>
              <w:spacing w:line="560" w:lineRule="exact"/>
              <w:ind w:firstLine="0"/>
              <w:rPr>
                <w:rFonts w:ascii="黑体" w:hAnsi="黑体" w:eastAsia="黑体"/>
                <w:szCs w:val="21"/>
              </w:rPr>
            </w:pPr>
            <w:r>
              <w:rPr>
                <w:rFonts w:ascii="黑体" w:hAnsi="黑体" w:eastAsia="黑体"/>
                <w:szCs w:val="21"/>
              </w:rPr>
              <w:t>名称</w:t>
            </w:r>
          </w:p>
        </w:tc>
        <w:tc>
          <w:tcPr>
            <w:tcW w:w="941" w:type="dxa"/>
            <w:vMerge w:val="restart"/>
            <w:vAlign w:val="center"/>
          </w:tcPr>
          <w:p w14:paraId="1D3FC001">
            <w:pPr>
              <w:pStyle w:val="3"/>
              <w:spacing w:line="560" w:lineRule="exact"/>
              <w:ind w:firstLine="0"/>
              <w:rPr>
                <w:rFonts w:ascii="黑体" w:hAnsi="黑体" w:eastAsia="黑体"/>
                <w:szCs w:val="21"/>
              </w:rPr>
            </w:pPr>
            <w:r>
              <w:rPr>
                <w:rFonts w:ascii="黑体" w:hAnsi="黑体" w:eastAsia="黑体"/>
                <w:szCs w:val="21"/>
              </w:rPr>
              <w:t>建设</w:t>
            </w:r>
          </w:p>
          <w:p w14:paraId="27538F71">
            <w:pPr>
              <w:pStyle w:val="3"/>
              <w:spacing w:line="560" w:lineRule="exact"/>
              <w:ind w:firstLine="0"/>
              <w:rPr>
                <w:rFonts w:ascii="黑体" w:hAnsi="黑体" w:eastAsia="黑体"/>
                <w:szCs w:val="21"/>
              </w:rPr>
            </w:pPr>
            <w:r>
              <w:rPr>
                <w:rFonts w:ascii="黑体" w:hAnsi="黑体" w:eastAsia="黑体"/>
                <w:szCs w:val="21"/>
              </w:rPr>
              <w:t>主体</w:t>
            </w:r>
          </w:p>
        </w:tc>
        <w:tc>
          <w:tcPr>
            <w:tcW w:w="900" w:type="dxa"/>
            <w:vMerge w:val="restart"/>
            <w:vAlign w:val="center"/>
          </w:tcPr>
          <w:p w14:paraId="3DDF7C40">
            <w:pPr>
              <w:pStyle w:val="3"/>
              <w:spacing w:line="560" w:lineRule="exact"/>
              <w:ind w:firstLine="0"/>
              <w:rPr>
                <w:rFonts w:ascii="黑体" w:hAnsi="黑体" w:eastAsia="黑体"/>
                <w:szCs w:val="21"/>
              </w:rPr>
            </w:pPr>
            <w:r>
              <w:rPr>
                <w:rFonts w:ascii="黑体" w:hAnsi="黑体" w:eastAsia="黑体"/>
                <w:szCs w:val="21"/>
              </w:rPr>
              <w:t>建设</w:t>
            </w:r>
          </w:p>
          <w:p w14:paraId="0B99F122">
            <w:pPr>
              <w:pStyle w:val="3"/>
              <w:spacing w:line="560" w:lineRule="exact"/>
              <w:ind w:firstLine="0"/>
              <w:rPr>
                <w:rFonts w:ascii="黑体" w:hAnsi="黑体" w:eastAsia="黑体"/>
                <w:szCs w:val="21"/>
              </w:rPr>
            </w:pPr>
            <w:r>
              <w:rPr>
                <w:rFonts w:ascii="黑体" w:hAnsi="黑体" w:eastAsia="黑体"/>
                <w:szCs w:val="21"/>
              </w:rPr>
              <w:t>主体</w:t>
            </w:r>
          </w:p>
        </w:tc>
        <w:tc>
          <w:tcPr>
            <w:tcW w:w="3091" w:type="dxa"/>
            <w:vMerge w:val="restart"/>
            <w:vAlign w:val="center"/>
          </w:tcPr>
          <w:p w14:paraId="7FEE36BD">
            <w:pPr>
              <w:pStyle w:val="3"/>
              <w:spacing w:line="560" w:lineRule="exact"/>
              <w:ind w:firstLine="0"/>
              <w:jc w:val="center"/>
              <w:rPr>
                <w:rFonts w:ascii="黑体" w:hAnsi="黑体" w:eastAsia="黑体"/>
                <w:szCs w:val="21"/>
              </w:rPr>
            </w:pPr>
            <w:r>
              <w:rPr>
                <w:rFonts w:ascii="黑体" w:hAnsi="黑体" w:eastAsia="黑体"/>
                <w:szCs w:val="21"/>
              </w:rPr>
              <w:t>建设内容</w:t>
            </w:r>
          </w:p>
        </w:tc>
        <w:tc>
          <w:tcPr>
            <w:tcW w:w="3223" w:type="dxa"/>
            <w:gridSpan w:val="3"/>
            <w:vAlign w:val="center"/>
          </w:tcPr>
          <w:p w14:paraId="006BC144">
            <w:pPr>
              <w:pStyle w:val="3"/>
              <w:spacing w:line="560" w:lineRule="exact"/>
              <w:ind w:firstLine="0"/>
              <w:jc w:val="center"/>
              <w:rPr>
                <w:rFonts w:ascii="黑体" w:hAnsi="黑体" w:eastAsia="黑体"/>
                <w:szCs w:val="21"/>
              </w:rPr>
            </w:pPr>
            <w:r>
              <w:rPr>
                <w:rFonts w:ascii="黑体" w:hAnsi="黑体" w:eastAsia="黑体"/>
                <w:szCs w:val="21"/>
              </w:rPr>
              <w:t>投资估算（万元）</w:t>
            </w:r>
          </w:p>
        </w:tc>
      </w:tr>
      <w:tr w14:paraId="6C18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69" w:type="dxa"/>
            <w:vMerge w:val="continue"/>
            <w:vAlign w:val="center"/>
          </w:tcPr>
          <w:p w14:paraId="5816DA37">
            <w:pPr>
              <w:pStyle w:val="3"/>
              <w:spacing w:line="560" w:lineRule="exact"/>
              <w:ind w:firstLine="0"/>
              <w:rPr>
                <w:rFonts w:ascii="黑体" w:hAnsi="黑体" w:eastAsia="黑体"/>
                <w:szCs w:val="21"/>
              </w:rPr>
            </w:pPr>
          </w:p>
        </w:tc>
        <w:tc>
          <w:tcPr>
            <w:tcW w:w="941" w:type="dxa"/>
            <w:vMerge w:val="continue"/>
            <w:vAlign w:val="center"/>
          </w:tcPr>
          <w:p w14:paraId="3374C90E">
            <w:pPr>
              <w:pStyle w:val="3"/>
              <w:spacing w:line="560" w:lineRule="exact"/>
              <w:ind w:firstLine="0"/>
              <w:rPr>
                <w:rFonts w:ascii="黑体" w:hAnsi="黑体" w:eastAsia="黑体"/>
                <w:szCs w:val="21"/>
              </w:rPr>
            </w:pPr>
          </w:p>
        </w:tc>
        <w:tc>
          <w:tcPr>
            <w:tcW w:w="900" w:type="dxa"/>
            <w:vMerge w:val="continue"/>
            <w:vAlign w:val="center"/>
          </w:tcPr>
          <w:p w14:paraId="5F449ADB">
            <w:pPr>
              <w:pStyle w:val="3"/>
              <w:spacing w:line="560" w:lineRule="exact"/>
              <w:ind w:firstLine="0"/>
              <w:rPr>
                <w:rFonts w:ascii="黑体" w:hAnsi="黑体" w:eastAsia="黑体"/>
                <w:szCs w:val="21"/>
              </w:rPr>
            </w:pPr>
          </w:p>
        </w:tc>
        <w:tc>
          <w:tcPr>
            <w:tcW w:w="3091" w:type="dxa"/>
            <w:vMerge w:val="continue"/>
            <w:vAlign w:val="center"/>
          </w:tcPr>
          <w:p w14:paraId="75B3D656">
            <w:pPr>
              <w:pStyle w:val="3"/>
              <w:spacing w:line="560" w:lineRule="exact"/>
              <w:ind w:firstLine="0"/>
              <w:rPr>
                <w:rFonts w:ascii="黑体" w:hAnsi="黑体" w:eastAsia="黑体"/>
                <w:szCs w:val="21"/>
              </w:rPr>
            </w:pPr>
          </w:p>
        </w:tc>
        <w:tc>
          <w:tcPr>
            <w:tcW w:w="1396" w:type="dxa"/>
            <w:vAlign w:val="center"/>
          </w:tcPr>
          <w:p w14:paraId="06D9631C">
            <w:pPr>
              <w:pStyle w:val="3"/>
              <w:spacing w:line="560" w:lineRule="exact"/>
              <w:ind w:firstLine="0"/>
              <w:jc w:val="center"/>
              <w:rPr>
                <w:rFonts w:ascii="黑体" w:hAnsi="黑体" w:eastAsia="黑体"/>
                <w:szCs w:val="21"/>
              </w:rPr>
            </w:pPr>
            <w:r>
              <w:rPr>
                <w:rFonts w:ascii="黑体" w:hAnsi="黑体" w:eastAsia="黑体"/>
                <w:szCs w:val="21"/>
              </w:rPr>
              <w:t>财政奖补资金</w:t>
            </w:r>
          </w:p>
        </w:tc>
        <w:tc>
          <w:tcPr>
            <w:tcW w:w="913" w:type="dxa"/>
            <w:vAlign w:val="center"/>
          </w:tcPr>
          <w:p w14:paraId="5B5CD842">
            <w:pPr>
              <w:pStyle w:val="3"/>
              <w:spacing w:line="560" w:lineRule="exact"/>
              <w:ind w:firstLine="0"/>
              <w:jc w:val="center"/>
              <w:rPr>
                <w:rFonts w:ascii="黑体" w:hAnsi="黑体" w:eastAsia="黑体"/>
                <w:szCs w:val="21"/>
              </w:rPr>
            </w:pPr>
            <w:r>
              <w:rPr>
                <w:rFonts w:ascii="黑体" w:hAnsi="黑体" w:eastAsia="黑体"/>
                <w:szCs w:val="21"/>
              </w:rPr>
              <w:t>自筹资金</w:t>
            </w:r>
          </w:p>
        </w:tc>
        <w:tc>
          <w:tcPr>
            <w:tcW w:w="914" w:type="dxa"/>
            <w:vAlign w:val="center"/>
          </w:tcPr>
          <w:p w14:paraId="130B0B9D">
            <w:pPr>
              <w:pStyle w:val="3"/>
              <w:spacing w:line="560" w:lineRule="exact"/>
              <w:ind w:firstLine="0"/>
              <w:jc w:val="center"/>
              <w:rPr>
                <w:rFonts w:ascii="黑体" w:hAnsi="黑体" w:eastAsia="黑体"/>
                <w:szCs w:val="21"/>
              </w:rPr>
            </w:pPr>
            <w:r>
              <w:rPr>
                <w:rFonts w:ascii="黑体" w:hAnsi="黑体" w:eastAsia="黑体"/>
                <w:szCs w:val="21"/>
              </w:rPr>
              <w:t>小计</w:t>
            </w:r>
          </w:p>
        </w:tc>
      </w:tr>
      <w:tr w14:paraId="24A3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restart"/>
            <w:vAlign w:val="center"/>
          </w:tcPr>
          <w:p w14:paraId="02D5367D">
            <w:pPr>
              <w:pStyle w:val="3"/>
              <w:spacing w:line="560" w:lineRule="exact"/>
              <w:ind w:firstLine="0"/>
              <w:rPr>
                <w:rFonts w:ascii="黑体" w:hAnsi="黑体" w:eastAsia="黑体"/>
                <w:szCs w:val="21"/>
              </w:rPr>
            </w:pPr>
          </w:p>
        </w:tc>
        <w:tc>
          <w:tcPr>
            <w:tcW w:w="941" w:type="dxa"/>
            <w:vMerge w:val="restart"/>
            <w:vAlign w:val="center"/>
          </w:tcPr>
          <w:p w14:paraId="1602C581">
            <w:pPr>
              <w:pStyle w:val="3"/>
              <w:spacing w:line="560" w:lineRule="exact"/>
              <w:ind w:firstLine="0"/>
              <w:rPr>
                <w:rFonts w:ascii="黑体" w:hAnsi="黑体" w:eastAsia="黑体"/>
                <w:szCs w:val="21"/>
              </w:rPr>
            </w:pPr>
          </w:p>
        </w:tc>
        <w:tc>
          <w:tcPr>
            <w:tcW w:w="900" w:type="dxa"/>
            <w:vMerge w:val="restart"/>
            <w:vAlign w:val="center"/>
          </w:tcPr>
          <w:p w14:paraId="0CB542E6">
            <w:pPr>
              <w:pStyle w:val="3"/>
              <w:spacing w:line="560" w:lineRule="exact"/>
              <w:ind w:firstLine="0"/>
              <w:rPr>
                <w:rFonts w:ascii="黑体" w:hAnsi="黑体" w:eastAsia="黑体"/>
                <w:szCs w:val="21"/>
              </w:rPr>
            </w:pPr>
          </w:p>
        </w:tc>
        <w:tc>
          <w:tcPr>
            <w:tcW w:w="3091" w:type="dxa"/>
            <w:vAlign w:val="center"/>
          </w:tcPr>
          <w:p w14:paraId="1AC10876">
            <w:pPr>
              <w:pStyle w:val="3"/>
              <w:spacing w:line="560" w:lineRule="exact"/>
              <w:ind w:firstLine="0"/>
              <w:rPr>
                <w:rFonts w:ascii="黑体" w:hAnsi="黑体" w:eastAsia="黑体"/>
                <w:szCs w:val="21"/>
              </w:rPr>
            </w:pPr>
            <w:r>
              <w:rPr>
                <w:rFonts w:ascii="黑体" w:hAnsi="黑体" w:eastAsia="黑体"/>
                <w:szCs w:val="21"/>
              </w:rPr>
              <w:t>1.</w:t>
            </w:r>
          </w:p>
        </w:tc>
        <w:tc>
          <w:tcPr>
            <w:tcW w:w="1396" w:type="dxa"/>
            <w:vAlign w:val="center"/>
          </w:tcPr>
          <w:p w14:paraId="054A8E07">
            <w:pPr>
              <w:pStyle w:val="3"/>
              <w:spacing w:line="560" w:lineRule="exact"/>
              <w:ind w:firstLine="0"/>
              <w:rPr>
                <w:rFonts w:ascii="黑体" w:hAnsi="黑体" w:eastAsia="黑体"/>
                <w:szCs w:val="21"/>
              </w:rPr>
            </w:pPr>
          </w:p>
        </w:tc>
        <w:tc>
          <w:tcPr>
            <w:tcW w:w="913" w:type="dxa"/>
            <w:vAlign w:val="center"/>
          </w:tcPr>
          <w:p w14:paraId="2742A9CC">
            <w:pPr>
              <w:pStyle w:val="3"/>
              <w:spacing w:line="560" w:lineRule="exact"/>
              <w:ind w:firstLine="0"/>
              <w:rPr>
                <w:rFonts w:ascii="黑体" w:hAnsi="黑体" w:eastAsia="黑体"/>
                <w:szCs w:val="21"/>
              </w:rPr>
            </w:pPr>
          </w:p>
        </w:tc>
        <w:tc>
          <w:tcPr>
            <w:tcW w:w="914" w:type="dxa"/>
            <w:vAlign w:val="center"/>
          </w:tcPr>
          <w:p w14:paraId="15616DD0">
            <w:pPr>
              <w:pStyle w:val="3"/>
              <w:spacing w:line="560" w:lineRule="exact"/>
              <w:ind w:firstLine="0"/>
              <w:rPr>
                <w:rFonts w:ascii="黑体" w:hAnsi="黑体" w:eastAsia="黑体"/>
                <w:szCs w:val="21"/>
              </w:rPr>
            </w:pPr>
          </w:p>
        </w:tc>
      </w:tr>
      <w:tr w14:paraId="3E53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continue"/>
            <w:vAlign w:val="center"/>
          </w:tcPr>
          <w:p w14:paraId="78C6DBF2">
            <w:pPr>
              <w:pStyle w:val="3"/>
              <w:spacing w:line="560" w:lineRule="exact"/>
              <w:ind w:firstLine="0"/>
              <w:rPr>
                <w:rFonts w:ascii="黑体" w:hAnsi="黑体" w:eastAsia="黑体"/>
                <w:szCs w:val="21"/>
              </w:rPr>
            </w:pPr>
          </w:p>
        </w:tc>
        <w:tc>
          <w:tcPr>
            <w:tcW w:w="941" w:type="dxa"/>
            <w:vMerge w:val="continue"/>
            <w:vAlign w:val="center"/>
          </w:tcPr>
          <w:p w14:paraId="54C05613">
            <w:pPr>
              <w:pStyle w:val="3"/>
              <w:spacing w:line="560" w:lineRule="exact"/>
              <w:ind w:firstLine="0"/>
              <w:rPr>
                <w:rFonts w:ascii="黑体" w:hAnsi="黑体" w:eastAsia="黑体"/>
                <w:szCs w:val="21"/>
              </w:rPr>
            </w:pPr>
          </w:p>
        </w:tc>
        <w:tc>
          <w:tcPr>
            <w:tcW w:w="900" w:type="dxa"/>
            <w:vMerge w:val="continue"/>
            <w:vAlign w:val="center"/>
          </w:tcPr>
          <w:p w14:paraId="6FCD30D0">
            <w:pPr>
              <w:pStyle w:val="3"/>
              <w:spacing w:line="560" w:lineRule="exact"/>
              <w:ind w:firstLine="0"/>
              <w:rPr>
                <w:rFonts w:ascii="黑体" w:hAnsi="黑体" w:eastAsia="黑体"/>
                <w:szCs w:val="21"/>
              </w:rPr>
            </w:pPr>
          </w:p>
        </w:tc>
        <w:tc>
          <w:tcPr>
            <w:tcW w:w="3091" w:type="dxa"/>
            <w:vAlign w:val="center"/>
          </w:tcPr>
          <w:p w14:paraId="35540066">
            <w:pPr>
              <w:pStyle w:val="3"/>
              <w:spacing w:line="560" w:lineRule="exact"/>
              <w:ind w:firstLine="0"/>
              <w:rPr>
                <w:rFonts w:ascii="黑体" w:hAnsi="黑体" w:eastAsia="黑体"/>
                <w:szCs w:val="21"/>
              </w:rPr>
            </w:pPr>
            <w:r>
              <w:rPr>
                <w:rFonts w:ascii="黑体" w:hAnsi="黑体" w:eastAsia="黑体"/>
                <w:szCs w:val="21"/>
              </w:rPr>
              <w:t>2.</w:t>
            </w:r>
          </w:p>
        </w:tc>
        <w:tc>
          <w:tcPr>
            <w:tcW w:w="1396" w:type="dxa"/>
            <w:vAlign w:val="center"/>
          </w:tcPr>
          <w:p w14:paraId="04A5F559">
            <w:pPr>
              <w:pStyle w:val="3"/>
              <w:spacing w:line="560" w:lineRule="exact"/>
              <w:ind w:firstLine="0"/>
              <w:rPr>
                <w:rFonts w:ascii="黑体" w:hAnsi="黑体" w:eastAsia="黑体"/>
                <w:szCs w:val="21"/>
              </w:rPr>
            </w:pPr>
          </w:p>
        </w:tc>
        <w:tc>
          <w:tcPr>
            <w:tcW w:w="913" w:type="dxa"/>
            <w:vAlign w:val="center"/>
          </w:tcPr>
          <w:p w14:paraId="105858FA">
            <w:pPr>
              <w:pStyle w:val="3"/>
              <w:spacing w:line="560" w:lineRule="exact"/>
              <w:ind w:firstLine="0"/>
              <w:rPr>
                <w:rFonts w:ascii="黑体" w:hAnsi="黑体" w:eastAsia="黑体"/>
                <w:szCs w:val="21"/>
              </w:rPr>
            </w:pPr>
          </w:p>
        </w:tc>
        <w:tc>
          <w:tcPr>
            <w:tcW w:w="914" w:type="dxa"/>
            <w:vAlign w:val="center"/>
          </w:tcPr>
          <w:p w14:paraId="5FFCB6B4">
            <w:pPr>
              <w:pStyle w:val="3"/>
              <w:spacing w:line="560" w:lineRule="exact"/>
              <w:ind w:firstLine="0"/>
              <w:rPr>
                <w:rFonts w:ascii="黑体" w:hAnsi="黑体" w:eastAsia="黑体"/>
                <w:szCs w:val="21"/>
              </w:rPr>
            </w:pPr>
          </w:p>
        </w:tc>
      </w:tr>
      <w:tr w14:paraId="0685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continue"/>
            <w:vAlign w:val="center"/>
          </w:tcPr>
          <w:p w14:paraId="2937D89C">
            <w:pPr>
              <w:pStyle w:val="3"/>
              <w:spacing w:line="560" w:lineRule="exact"/>
              <w:ind w:firstLine="0"/>
              <w:rPr>
                <w:rFonts w:ascii="黑体" w:hAnsi="黑体" w:eastAsia="黑体"/>
                <w:szCs w:val="21"/>
              </w:rPr>
            </w:pPr>
          </w:p>
        </w:tc>
        <w:tc>
          <w:tcPr>
            <w:tcW w:w="941" w:type="dxa"/>
            <w:vMerge w:val="continue"/>
            <w:vAlign w:val="center"/>
          </w:tcPr>
          <w:p w14:paraId="62C04764">
            <w:pPr>
              <w:pStyle w:val="3"/>
              <w:spacing w:line="560" w:lineRule="exact"/>
              <w:ind w:firstLine="0"/>
              <w:rPr>
                <w:rFonts w:ascii="黑体" w:hAnsi="黑体" w:eastAsia="黑体"/>
                <w:szCs w:val="21"/>
              </w:rPr>
            </w:pPr>
          </w:p>
        </w:tc>
        <w:tc>
          <w:tcPr>
            <w:tcW w:w="900" w:type="dxa"/>
            <w:vMerge w:val="continue"/>
            <w:vAlign w:val="center"/>
          </w:tcPr>
          <w:p w14:paraId="4E95511A">
            <w:pPr>
              <w:pStyle w:val="3"/>
              <w:spacing w:line="560" w:lineRule="exact"/>
              <w:ind w:firstLine="0"/>
              <w:rPr>
                <w:rFonts w:ascii="黑体" w:hAnsi="黑体" w:eastAsia="黑体"/>
                <w:szCs w:val="21"/>
              </w:rPr>
            </w:pPr>
          </w:p>
        </w:tc>
        <w:tc>
          <w:tcPr>
            <w:tcW w:w="3091" w:type="dxa"/>
            <w:vAlign w:val="center"/>
          </w:tcPr>
          <w:p w14:paraId="4188DC97">
            <w:pPr>
              <w:pStyle w:val="3"/>
              <w:spacing w:line="560" w:lineRule="exact"/>
              <w:ind w:firstLine="0"/>
              <w:rPr>
                <w:rFonts w:ascii="黑体" w:hAnsi="黑体" w:eastAsia="黑体"/>
                <w:szCs w:val="21"/>
              </w:rPr>
            </w:pPr>
            <w:r>
              <w:rPr>
                <w:rFonts w:ascii="黑体" w:hAnsi="黑体" w:eastAsia="黑体"/>
                <w:szCs w:val="21"/>
              </w:rPr>
              <w:t>3.</w:t>
            </w:r>
          </w:p>
        </w:tc>
        <w:tc>
          <w:tcPr>
            <w:tcW w:w="1396" w:type="dxa"/>
            <w:vAlign w:val="center"/>
          </w:tcPr>
          <w:p w14:paraId="347A282D">
            <w:pPr>
              <w:pStyle w:val="3"/>
              <w:spacing w:line="560" w:lineRule="exact"/>
              <w:ind w:firstLine="0"/>
              <w:rPr>
                <w:rFonts w:ascii="黑体" w:hAnsi="黑体" w:eastAsia="黑体"/>
                <w:szCs w:val="21"/>
              </w:rPr>
            </w:pPr>
          </w:p>
        </w:tc>
        <w:tc>
          <w:tcPr>
            <w:tcW w:w="913" w:type="dxa"/>
            <w:vAlign w:val="center"/>
          </w:tcPr>
          <w:p w14:paraId="44121CA2">
            <w:pPr>
              <w:pStyle w:val="3"/>
              <w:spacing w:line="560" w:lineRule="exact"/>
              <w:ind w:firstLine="0"/>
              <w:rPr>
                <w:rFonts w:ascii="黑体" w:hAnsi="黑体" w:eastAsia="黑体"/>
                <w:szCs w:val="21"/>
              </w:rPr>
            </w:pPr>
          </w:p>
        </w:tc>
        <w:tc>
          <w:tcPr>
            <w:tcW w:w="914" w:type="dxa"/>
            <w:vAlign w:val="center"/>
          </w:tcPr>
          <w:p w14:paraId="5994DFD2">
            <w:pPr>
              <w:pStyle w:val="3"/>
              <w:spacing w:line="560" w:lineRule="exact"/>
              <w:ind w:firstLine="0"/>
              <w:rPr>
                <w:rFonts w:ascii="黑体" w:hAnsi="黑体" w:eastAsia="黑体"/>
                <w:szCs w:val="21"/>
              </w:rPr>
            </w:pPr>
          </w:p>
        </w:tc>
      </w:tr>
      <w:tr w14:paraId="2794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continue"/>
            <w:vAlign w:val="center"/>
          </w:tcPr>
          <w:p w14:paraId="26A4F391">
            <w:pPr>
              <w:pStyle w:val="3"/>
              <w:spacing w:line="560" w:lineRule="exact"/>
              <w:ind w:firstLine="0"/>
              <w:rPr>
                <w:rFonts w:ascii="黑体" w:hAnsi="黑体" w:eastAsia="黑体"/>
                <w:szCs w:val="21"/>
              </w:rPr>
            </w:pPr>
          </w:p>
        </w:tc>
        <w:tc>
          <w:tcPr>
            <w:tcW w:w="941" w:type="dxa"/>
            <w:vMerge w:val="continue"/>
            <w:vAlign w:val="center"/>
          </w:tcPr>
          <w:p w14:paraId="1A990C5E">
            <w:pPr>
              <w:pStyle w:val="3"/>
              <w:spacing w:line="560" w:lineRule="exact"/>
              <w:ind w:firstLine="0"/>
              <w:rPr>
                <w:rFonts w:ascii="黑体" w:hAnsi="黑体" w:eastAsia="黑体"/>
                <w:szCs w:val="21"/>
              </w:rPr>
            </w:pPr>
          </w:p>
        </w:tc>
        <w:tc>
          <w:tcPr>
            <w:tcW w:w="900" w:type="dxa"/>
            <w:vMerge w:val="continue"/>
            <w:vAlign w:val="center"/>
          </w:tcPr>
          <w:p w14:paraId="5A9CAB5C">
            <w:pPr>
              <w:pStyle w:val="3"/>
              <w:spacing w:line="560" w:lineRule="exact"/>
              <w:ind w:firstLine="0"/>
              <w:rPr>
                <w:rFonts w:ascii="黑体" w:hAnsi="黑体" w:eastAsia="黑体"/>
                <w:szCs w:val="21"/>
              </w:rPr>
            </w:pPr>
          </w:p>
        </w:tc>
        <w:tc>
          <w:tcPr>
            <w:tcW w:w="3091" w:type="dxa"/>
            <w:vAlign w:val="center"/>
          </w:tcPr>
          <w:p w14:paraId="1FA21611">
            <w:pPr>
              <w:pStyle w:val="3"/>
              <w:spacing w:line="560" w:lineRule="exact"/>
              <w:ind w:firstLine="0"/>
              <w:rPr>
                <w:rFonts w:ascii="黑体" w:hAnsi="黑体" w:eastAsia="黑体"/>
                <w:szCs w:val="21"/>
              </w:rPr>
            </w:pPr>
            <w:r>
              <w:rPr>
                <w:rFonts w:ascii="黑体" w:hAnsi="黑体" w:eastAsia="黑体"/>
                <w:szCs w:val="21"/>
              </w:rPr>
              <w:t>...</w:t>
            </w:r>
          </w:p>
        </w:tc>
        <w:tc>
          <w:tcPr>
            <w:tcW w:w="1396" w:type="dxa"/>
            <w:vAlign w:val="center"/>
          </w:tcPr>
          <w:p w14:paraId="18A1B71B">
            <w:pPr>
              <w:pStyle w:val="3"/>
              <w:spacing w:line="560" w:lineRule="exact"/>
              <w:ind w:firstLine="0"/>
              <w:rPr>
                <w:rFonts w:ascii="黑体" w:hAnsi="黑体" w:eastAsia="黑体"/>
                <w:szCs w:val="21"/>
              </w:rPr>
            </w:pPr>
          </w:p>
        </w:tc>
        <w:tc>
          <w:tcPr>
            <w:tcW w:w="913" w:type="dxa"/>
            <w:vAlign w:val="center"/>
          </w:tcPr>
          <w:p w14:paraId="5E5084E5">
            <w:pPr>
              <w:pStyle w:val="3"/>
              <w:spacing w:line="560" w:lineRule="exact"/>
              <w:ind w:firstLine="0"/>
              <w:rPr>
                <w:rFonts w:ascii="黑体" w:hAnsi="黑体" w:eastAsia="黑体"/>
                <w:szCs w:val="21"/>
              </w:rPr>
            </w:pPr>
          </w:p>
        </w:tc>
        <w:tc>
          <w:tcPr>
            <w:tcW w:w="914" w:type="dxa"/>
            <w:vAlign w:val="center"/>
          </w:tcPr>
          <w:p w14:paraId="13D5D15A">
            <w:pPr>
              <w:pStyle w:val="3"/>
              <w:spacing w:line="560" w:lineRule="exact"/>
              <w:ind w:firstLine="0"/>
              <w:rPr>
                <w:rFonts w:ascii="黑体" w:hAnsi="黑体" w:eastAsia="黑体"/>
                <w:szCs w:val="21"/>
              </w:rPr>
            </w:pPr>
          </w:p>
        </w:tc>
      </w:tr>
      <w:tr w14:paraId="71C1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5F2A2849">
            <w:pPr>
              <w:pStyle w:val="3"/>
              <w:spacing w:line="560" w:lineRule="exact"/>
              <w:ind w:firstLine="0"/>
              <w:jc w:val="center"/>
              <w:rPr>
                <w:rFonts w:ascii="黑体" w:hAnsi="黑体" w:eastAsia="黑体"/>
                <w:szCs w:val="21"/>
              </w:rPr>
            </w:pPr>
            <w:r>
              <w:rPr>
                <w:rFonts w:ascii="黑体" w:hAnsi="黑体" w:eastAsia="黑体"/>
                <w:szCs w:val="21"/>
              </w:rPr>
              <w:t>合计</w:t>
            </w:r>
          </w:p>
        </w:tc>
        <w:tc>
          <w:tcPr>
            <w:tcW w:w="941" w:type="dxa"/>
            <w:vAlign w:val="center"/>
          </w:tcPr>
          <w:p w14:paraId="03083F4C">
            <w:pPr>
              <w:pStyle w:val="3"/>
              <w:spacing w:line="560" w:lineRule="exact"/>
              <w:ind w:firstLine="0"/>
              <w:rPr>
                <w:rFonts w:ascii="黑体" w:hAnsi="黑体" w:eastAsia="黑体"/>
                <w:szCs w:val="21"/>
              </w:rPr>
            </w:pPr>
          </w:p>
        </w:tc>
        <w:tc>
          <w:tcPr>
            <w:tcW w:w="900" w:type="dxa"/>
            <w:vAlign w:val="center"/>
          </w:tcPr>
          <w:p w14:paraId="06044505">
            <w:pPr>
              <w:pStyle w:val="3"/>
              <w:spacing w:line="560" w:lineRule="exact"/>
              <w:ind w:firstLine="0"/>
              <w:rPr>
                <w:rFonts w:ascii="黑体" w:hAnsi="黑体" w:eastAsia="黑体"/>
                <w:szCs w:val="21"/>
              </w:rPr>
            </w:pPr>
          </w:p>
        </w:tc>
        <w:tc>
          <w:tcPr>
            <w:tcW w:w="3091" w:type="dxa"/>
            <w:vAlign w:val="center"/>
          </w:tcPr>
          <w:p w14:paraId="38028525">
            <w:pPr>
              <w:pStyle w:val="3"/>
              <w:spacing w:line="560" w:lineRule="exact"/>
              <w:ind w:firstLine="0"/>
              <w:rPr>
                <w:rFonts w:ascii="黑体" w:hAnsi="黑体" w:eastAsia="黑体"/>
                <w:szCs w:val="21"/>
              </w:rPr>
            </w:pPr>
          </w:p>
        </w:tc>
        <w:tc>
          <w:tcPr>
            <w:tcW w:w="1396" w:type="dxa"/>
            <w:vAlign w:val="center"/>
          </w:tcPr>
          <w:p w14:paraId="163D3D9F">
            <w:pPr>
              <w:pStyle w:val="3"/>
              <w:spacing w:line="560" w:lineRule="exact"/>
              <w:ind w:firstLine="0"/>
              <w:rPr>
                <w:rFonts w:ascii="黑体" w:hAnsi="黑体" w:eastAsia="黑体"/>
                <w:szCs w:val="21"/>
              </w:rPr>
            </w:pPr>
          </w:p>
        </w:tc>
        <w:tc>
          <w:tcPr>
            <w:tcW w:w="913" w:type="dxa"/>
            <w:vAlign w:val="center"/>
          </w:tcPr>
          <w:p w14:paraId="3E987169">
            <w:pPr>
              <w:pStyle w:val="3"/>
              <w:spacing w:line="560" w:lineRule="exact"/>
              <w:ind w:firstLine="0"/>
              <w:rPr>
                <w:rFonts w:ascii="黑体" w:hAnsi="黑体" w:eastAsia="黑体"/>
                <w:szCs w:val="21"/>
              </w:rPr>
            </w:pPr>
          </w:p>
        </w:tc>
        <w:tc>
          <w:tcPr>
            <w:tcW w:w="914" w:type="dxa"/>
            <w:vAlign w:val="center"/>
          </w:tcPr>
          <w:p w14:paraId="0C14BA5D">
            <w:pPr>
              <w:pStyle w:val="3"/>
              <w:spacing w:line="560" w:lineRule="exact"/>
              <w:ind w:firstLine="0"/>
              <w:rPr>
                <w:rFonts w:ascii="黑体" w:hAnsi="黑体" w:eastAsia="黑体"/>
                <w:szCs w:val="21"/>
              </w:rPr>
            </w:pPr>
          </w:p>
        </w:tc>
      </w:tr>
    </w:tbl>
    <w:p w14:paraId="1A7EA7C9">
      <w:pPr>
        <w:pStyle w:val="3"/>
        <w:spacing w:line="560" w:lineRule="exact"/>
        <w:ind w:firstLine="0"/>
      </w:pPr>
    </w:p>
    <w:p w14:paraId="0127624B">
      <w:pPr>
        <w:spacing w:line="560" w:lineRule="exact"/>
        <w:ind w:firstLine="616" w:firstLineChars="200"/>
        <w:rPr>
          <w:rFonts w:eastAsia="黑体"/>
          <w:szCs w:val="32"/>
        </w:rPr>
      </w:pPr>
      <w:r>
        <w:rPr>
          <w:rFonts w:eastAsia="黑体"/>
          <w:szCs w:val="32"/>
        </w:rPr>
        <w:t>四、运营模式和预期效果</w:t>
      </w:r>
    </w:p>
    <w:p w14:paraId="389B22D1">
      <w:pPr>
        <w:spacing w:line="560" w:lineRule="exact"/>
        <w:ind w:firstLine="616" w:firstLineChars="200"/>
        <w:rPr>
          <w:szCs w:val="32"/>
        </w:rPr>
      </w:pPr>
      <w:r>
        <w:rPr>
          <w:szCs w:val="32"/>
        </w:rPr>
        <w:t>农事综合服务中心的运营模式（独立运营、合作运营），各主体间分工协作方案，建成后预期达到效果（功能提升、服务提质、经济增效等），联农带农的具体机制和带动效果。</w:t>
      </w:r>
    </w:p>
    <w:p w14:paraId="649F9369">
      <w:pPr>
        <w:spacing w:line="560" w:lineRule="exact"/>
        <w:ind w:firstLine="616" w:firstLineChars="200"/>
        <w:rPr>
          <w:rFonts w:eastAsia="黑体"/>
          <w:szCs w:val="32"/>
        </w:rPr>
      </w:pPr>
      <w:r>
        <w:rPr>
          <w:rFonts w:eastAsia="黑体"/>
          <w:szCs w:val="32"/>
        </w:rPr>
        <w:t>五、保障措施</w:t>
      </w:r>
    </w:p>
    <w:p w14:paraId="4881A946">
      <w:pPr>
        <w:spacing w:line="560" w:lineRule="exact"/>
        <w:ind w:firstLine="616" w:firstLineChars="200"/>
        <w:rPr>
          <w:szCs w:val="32"/>
        </w:rPr>
      </w:pPr>
      <w:r>
        <w:rPr>
          <w:szCs w:val="32"/>
        </w:rPr>
        <w:t>包括在组织领导、项目管理、指导服务、宣传推介等方面采取的措施。</w:t>
      </w:r>
    </w:p>
    <w:p w14:paraId="0E0E3390">
      <w:pPr>
        <w:spacing w:line="560" w:lineRule="exact"/>
        <w:ind w:firstLine="616" w:firstLineChars="200"/>
        <w:rPr>
          <w:rFonts w:eastAsia="黑体"/>
          <w:szCs w:val="32"/>
        </w:rPr>
      </w:pPr>
      <w:r>
        <w:rPr>
          <w:rFonts w:eastAsia="黑体"/>
          <w:szCs w:val="32"/>
        </w:rPr>
        <w:t>六、证明材料</w:t>
      </w:r>
    </w:p>
    <w:p w14:paraId="307D19FC">
      <w:pPr>
        <w:spacing w:line="560" w:lineRule="exact"/>
        <w:ind w:firstLine="616" w:firstLineChars="200"/>
        <w:rPr>
          <w:szCs w:val="32"/>
        </w:rPr>
      </w:pPr>
      <w:r>
        <w:rPr>
          <w:szCs w:val="32"/>
        </w:rPr>
        <w:t>建设方案中涉及的主体资质、营业执照、服务协议、土地使用证明、房屋产权证、品牌认证、产品购销合同、人员资格证书等重要证明材料。</w:t>
      </w:r>
    </w:p>
    <w:p w14:paraId="70FEA611">
      <w:pPr>
        <w:spacing w:line="560" w:lineRule="exact"/>
        <w:ind w:firstLine="616" w:firstLineChars="200"/>
      </w:pPr>
    </w:p>
    <w:p w14:paraId="455F711B">
      <w:pPr>
        <w:pStyle w:val="2"/>
        <w:spacing w:before="0" w:after="0" w:line="560" w:lineRule="exact"/>
      </w:pPr>
    </w:p>
    <w:p w14:paraId="408E2134">
      <w:pPr>
        <w:spacing w:line="560" w:lineRule="exact"/>
      </w:pPr>
    </w:p>
    <w:p w14:paraId="37B5F2E0">
      <w:pPr>
        <w:pStyle w:val="2"/>
        <w:spacing w:before="0" w:after="0" w:line="560" w:lineRule="exact"/>
      </w:pPr>
    </w:p>
    <w:p w14:paraId="5864AC03">
      <w:pPr>
        <w:spacing w:line="560" w:lineRule="exact"/>
      </w:pPr>
    </w:p>
    <w:p w14:paraId="6FB4C25D">
      <w:pPr>
        <w:pStyle w:val="2"/>
        <w:spacing w:before="0" w:after="0" w:line="560" w:lineRule="exact"/>
      </w:pPr>
    </w:p>
    <w:p w14:paraId="57063B5C">
      <w:pPr>
        <w:spacing w:line="560" w:lineRule="exact"/>
      </w:pPr>
    </w:p>
    <w:p w14:paraId="7B96D724">
      <w:pPr>
        <w:pStyle w:val="2"/>
        <w:spacing w:before="0" w:after="0" w:line="560" w:lineRule="exact"/>
      </w:pPr>
    </w:p>
    <w:p w14:paraId="76677271">
      <w:pPr>
        <w:spacing w:line="560" w:lineRule="exact"/>
      </w:pPr>
    </w:p>
    <w:p w14:paraId="34CCFA3E">
      <w:pPr>
        <w:pStyle w:val="2"/>
        <w:spacing w:before="0" w:after="0" w:line="560" w:lineRule="exact"/>
        <w:sectPr>
          <w:pgSz w:w="11906" w:h="16838"/>
          <w:pgMar w:top="2098" w:right="1474" w:bottom="1985" w:left="1588" w:header="851" w:footer="992" w:gutter="0"/>
          <w:cols w:space="720" w:num="1"/>
          <w:docGrid w:type="lines" w:linePitch="312" w:charSpace="0"/>
        </w:sectPr>
      </w:pPr>
    </w:p>
    <w:p w14:paraId="584D0E0A">
      <w:pPr>
        <w:pStyle w:val="3"/>
        <w:spacing w:line="560" w:lineRule="exact"/>
        <w:ind w:firstLine="0"/>
        <w:rPr>
          <w:rFonts w:eastAsia="黑体"/>
          <w:szCs w:val="32"/>
        </w:rPr>
      </w:pPr>
      <w:r>
        <w:rPr>
          <w:rFonts w:eastAsia="黑体"/>
          <w:szCs w:val="32"/>
        </w:rPr>
        <w:t>附件3</w:t>
      </w:r>
    </w:p>
    <w:p w14:paraId="32175952">
      <w:pPr>
        <w:spacing w:before="230" w:beforeLines="50" w:after="230" w:afterLines="50" w:line="560" w:lineRule="exact"/>
        <w:jc w:val="center"/>
        <w:rPr>
          <w:rFonts w:eastAsia="方正小标宋简体"/>
          <w:sz w:val="44"/>
          <w:szCs w:val="44"/>
        </w:rPr>
      </w:pPr>
      <w:r>
        <w:rPr>
          <w:rFonts w:eastAsia="方正小标宋简体"/>
          <w:sz w:val="44"/>
          <w:szCs w:val="44"/>
        </w:rPr>
        <w:t>农事综合服务中心评价指标及评分标准</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932"/>
        <w:gridCol w:w="11005"/>
      </w:tblGrid>
      <w:tr w14:paraId="3A21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237" w:type="dxa"/>
            <w:vAlign w:val="center"/>
          </w:tcPr>
          <w:p w14:paraId="1895957E">
            <w:pPr>
              <w:widowControl/>
              <w:spacing w:line="560" w:lineRule="exact"/>
              <w:jc w:val="center"/>
              <w:textAlignment w:val="center"/>
              <w:rPr>
                <w:rFonts w:eastAsia="方正小标宋简体"/>
                <w:szCs w:val="32"/>
              </w:rPr>
            </w:pPr>
            <w:r>
              <w:rPr>
                <w:b/>
                <w:color w:val="000000"/>
                <w:kern w:val="0"/>
                <w:sz w:val="24"/>
                <w:lang w:bidi="ar"/>
              </w:rPr>
              <w:t>一级指标</w:t>
            </w:r>
          </w:p>
        </w:tc>
        <w:tc>
          <w:tcPr>
            <w:tcW w:w="1932" w:type="dxa"/>
            <w:vAlign w:val="center"/>
          </w:tcPr>
          <w:p w14:paraId="65C6E406">
            <w:pPr>
              <w:widowControl/>
              <w:spacing w:line="560" w:lineRule="exact"/>
              <w:jc w:val="center"/>
              <w:textAlignment w:val="center"/>
              <w:rPr>
                <w:rFonts w:eastAsia="方正小标宋简体"/>
                <w:szCs w:val="32"/>
              </w:rPr>
            </w:pPr>
            <w:r>
              <w:rPr>
                <w:b/>
                <w:color w:val="000000"/>
                <w:kern w:val="0"/>
                <w:sz w:val="24"/>
                <w:lang w:bidi="ar"/>
              </w:rPr>
              <w:t>二级指标</w:t>
            </w:r>
          </w:p>
        </w:tc>
        <w:tc>
          <w:tcPr>
            <w:tcW w:w="11005" w:type="dxa"/>
            <w:vAlign w:val="center"/>
          </w:tcPr>
          <w:p w14:paraId="3D117810">
            <w:pPr>
              <w:widowControl/>
              <w:spacing w:line="560" w:lineRule="exact"/>
              <w:jc w:val="center"/>
              <w:textAlignment w:val="center"/>
              <w:rPr>
                <w:rFonts w:eastAsia="方正小标宋简体"/>
                <w:szCs w:val="32"/>
              </w:rPr>
            </w:pPr>
            <w:r>
              <w:rPr>
                <w:b/>
                <w:color w:val="000000"/>
                <w:kern w:val="0"/>
                <w:sz w:val="24"/>
                <w:lang w:bidi="ar"/>
              </w:rPr>
              <w:t>评分标准</w:t>
            </w:r>
          </w:p>
        </w:tc>
      </w:tr>
      <w:tr w14:paraId="0750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1237" w:type="dxa"/>
            <w:vMerge w:val="restart"/>
            <w:vAlign w:val="center"/>
          </w:tcPr>
          <w:p w14:paraId="0777D016">
            <w:pPr>
              <w:widowControl/>
              <w:spacing w:line="400" w:lineRule="exact"/>
              <w:textAlignment w:val="center"/>
              <w:rPr>
                <w:rFonts w:eastAsia="方正小标宋简体"/>
                <w:szCs w:val="32"/>
              </w:rPr>
            </w:pPr>
            <w:r>
              <w:rPr>
                <w:color w:val="000000"/>
                <w:kern w:val="0"/>
                <w:sz w:val="24"/>
                <w:lang w:bidi="ar"/>
              </w:rPr>
              <w:t>服务能力（50分）</w:t>
            </w:r>
          </w:p>
        </w:tc>
        <w:tc>
          <w:tcPr>
            <w:tcW w:w="1932" w:type="dxa"/>
            <w:vAlign w:val="center"/>
          </w:tcPr>
          <w:p w14:paraId="5F6AE28B">
            <w:pPr>
              <w:widowControl/>
              <w:spacing w:line="400" w:lineRule="exact"/>
              <w:jc w:val="center"/>
              <w:textAlignment w:val="center"/>
              <w:rPr>
                <w:rFonts w:eastAsia="方正小标宋简体"/>
                <w:szCs w:val="32"/>
              </w:rPr>
            </w:pPr>
            <w:r>
              <w:rPr>
                <w:color w:val="000000"/>
                <w:kern w:val="0"/>
                <w:sz w:val="24"/>
                <w:lang w:bidi="ar"/>
              </w:rPr>
              <w:t>服务功能完善情况（25分）</w:t>
            </w:r>
          </w:p>
        </w:tc>
        <w:tc>
          <w:tcPr>
            <w:tcW w:w="11005" w:type="dxa"/>
            <w:vAlign w:val="center"/>
          </w:tcPr>
          <w:p w14:paraId="6AA2AA09">
            <w:pPr>
              <w:widowControl/>
              <w:spacing w:line="400" w:lineRule="exact"/>
              <w:textAlignment w:val="center"/>
              <w:rPr>
                <w:rFonts w:eastAsia="方正小标宋简体"/>
                <w:szCs w:val="32"/>
              </w:rPr>
            </w:pPr>
            <w:r>
              <w:rPr>
                <w:color w:val="000000"/>
                <w:kern w:val="0"/>
                <w:sz w:val="24"/>
                <w:lang w:bidi="ar"/>
              </w:rPr>
              <w:t>对照《农事综合服务中心功能建设要求》明确的</w:t>
            </w:r>
            <w:r>
              <w:rPr>
                <w:kern w:val="0"/>
                <w:sz w:val="24"/>
                <w:lang w:bidi="ar"/>
              </w:rPr>
              <w:t>12</w:t>
            </w:r>
            <w:r>
              <w:rPr>
                <w:color w:val="000000"/>
                <w:kern w:val="0"/>
                <w:sz w:val="24"/>
                <w:lang w:bidi="ar"/>
              </w:rPr>
              <w:t>项功能，具备8项以上功能（应能够覆盖产前、产中、产后三个环节）的得25分，每缺少一项功能扣2分，低于5项功能或者不能够覆盖产前、产中、产后三个环节的，直接定</w:t>
            </w:r>
            <w:r>
              <w:rPr>
                <w:color w:val="000000"/>
                <w:kern w:val="0"/>
                <w:szCs w:val="21"/>
                <w:lang w:bidi="ar"/>
              </w:rPr>
              <w:t>为</w:t>
            </w:r>
            <w:r>
              <w:rPr>
                <w:kern w:val="0"/>
                <w:szCs w:val="21"/>
                <w:lang w:bidi="ar"/>
              </w:rPr>
              <w:t>“差</w:t>
            </w:r>
            <w:r>
              <w:rPr>
                <w:kern w:val="0"/>
                <w:sz w:val="24"/>
                <w:lang w:bidi="ar"/>
              </w:rPr>
              <w:t>”</w:t>
            </w:r>
            <w:r>
              <w:rPr>
                <w:color w:val="000000"/>
                <w:kern w:val="0"/>
                <w:sz w:val="24"/>
                <w:lang w:bidi="ar"/>
              </w:rPr>
              <w:t>档次；由专家依据农事服务中心提供的服务协议、服务记录并结合实地查验、电话回访等进行综合评判得分。</w:t>
            </w:r>
          </w:p>
        </w:tc>
      </w:tr>
      <w:tr w14:paraId="2F20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trPr>
        <w:tc>
          <w:tcPr>
            <w:tcW w:w="1237" w:type="dxa"/>
            <w:vMerge w:val="continue"/>
          </w:tcPr>
          <w:p w14:paraId="1E949744">
            <w:pPr>
              <w:spacing w:line="400" w:lineRule="exact"/>
              <w:rPr>
                <w:rFonts w:eastAsia="方正小标宋简体"/>
                <w:szCs w:val="32"/>
              </w:rPr>
            </w:pPr>
          </w:p>
        </w:tc>
        <w:tc>
          <w:tcPr>
            <w:tcW w:w="1932" w:type="dxa"/>
            <w:vAlign w:val="center"/>
          </w:tcPr>
          <w:p w14:paraId="4E566FDE">
            <w:pPr>
              <w:widowControl/>
              <w:spacing w:line="400" w:lineRule="exact"/>
              <w:jc w:val="center"/>
              <w:textAlignment w:val="center"/>
              <w:rPr>
                <w:rFonts w:eastAsia="方正小标宋简体"/>
                <w:szCs w:val="32"/>
              </w:rPr>
            </w:pPr>
            <w:r>
              <w:rPr>
                <w:color w:val="000000"/>
                <w:kern w:val="0"/>
                <w:sz w:val="24"/>
                <w:lang w:bidi="ar"/>
              </w:rPr>
              <w:t>服务标准及收费标准制定情况（25分）</w:t>
            </w:r>
          </w:p>
        </w:tc>
        <w:tc>
          <w:tcPr>
            <w:tcW w:w="11005" w:type="dxa"/>
            <w:vAlign w:val="center"/>
          </w:tcPr>
          <w:p w14:paraId="7EFB04A0">
            <w:pPr>
              <w:widowControl/>
              <w:spacing w:line="400" w:lineRule="exact"/>
              <w:textAlignment w:val="center"/>
              <w:rPr>
                <w:rFonts w:eastAsia="方正小标宋简体"/>
                <w:szCs w:val="32"/>
              </w:rPr>
            </w:pPr>
            <w:r>
              <w:rPr>
                <w:color w:val="000000"/>
                <w:kern w:val="0"/>
                <w:sz w:val="24"/>
                <w:lang w:bidi="ar"/>
              </w:rPr>
              <w:t>农事综合服务中心各项功能均制定服务标准及收费标准得25分，每缺少一项服务标准及收费标准的扣2分，扣至0分为止；服务标准应完整、准确并符合当地农业生产实际和服务对象实际需求，收费标准应不高于同等服务的市场价格（无偿服务的提供无偿服务说明）；由专家依据农事服务中心提供的纸质材料并结合实地查验、电话回访等进行综合评判得分。</w:t>
            </w:r>
          </w:p>
        </w:tc>
      </w:tr>
      <w:tr w14:paraId="7F8D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trPr>
        <w:tc>
          <w:tcPr>
            <w:tcW w:w="1237" w:type="dxa"/>
            <w:vMerge w:val="restart"/>
            <w:vAlign w:val="center"/>
          </w:tcPr>
          <w:p w14:paraId="42EDAC84">
            <w:pPr>
              <w:widowControl/>
              <w:spacing w:line="400" w:lineRule="exact"/>
              <w:textAlignment w:val="center"/>
              <w:rPr>
                <w:rFonts w:eastAsia="方正小标宋简体"/>
                <w:szCs w:val="32"/>
              </w:rPr>
            </w:pPr>
            <w:r>
              <w:rPr>
                <w:color w:val="000000"/>
                <w:kern w:val="0"/>
                <w:sz w:val="24"/>
                <w:lang w:bidi="ar"/>
              </w:rPr>
              <w:t>服务效果（50分）</w:t>
            </w:r>
          </w:p>
        </w:tc>
        <w:tc>
          <w:tcPr>
            <w:tcW w:w="1932" w:type="dxa"/>
            <w:vAlign w:val="center"/>
          </w:tcPr>
          <w:p w14:paraId="41BF2095">
            <w:pPr>
              <w:widowControl/>
              <w:spacing w:line="400" w:lineRule="exact"/>
              <w:jc w:val="center"/>
              <w:textAlignment w:val="center"/>
              <w:rPr>
                <w:rFonts w:eastAsia="方正小标宋简体"/>
                <w:szCs w:val="32"/>
              </w:rPr>
            </w:pPr>
            <w:r>
              <w:rPr>
                <w:color w:val="000000"/>
                <w:kern w:val="0"/>
                <w:sz w:val="24"/>
                <w:lang w:bidi="ar"/>
              </w:rPr>
              <w:t>服务主体数量（20分）</w:t>
            </w:r>
          </w:p>
        </w:tc>
        <w:tc>
          <w:tcPr>
            <w:tcW w:w="11005" w:type="dxa"/>
            <w:vAlign w:val="center"/>
          </w:tcPr>
          <w:p w14:paraId="493DD3A3">
            <w:pPr>
              <w:widowControl/>
              <w:spacing w:line="400" w:lineRule="exact"/>
              <w:textAlignment w:val="center"/>
              <w:rPr>
                <w:rFonts w:eastAsia="方正小标宋简体"/>
                <w:szCs w:val="32"/>
              </w:rPr>
            </w:pPr>
            <w:r>
              <w:rPr>
                <w:color w:val="000000"/>
                <w:kern w:val="0"/>
                <w:sz w:val="24"/>
                <w:lang w:bidi="ar"/>
              </w:rPr>
              <w:t>年服务小农户（种植面积</w:t>
            </w:r>
            <w:r>
              <w:rPr>
                <w:rStyle w:val="11"/>
                <w:rFonts w:ascii="Times New Roman" w:hAnsi="Times New Roman" w:eastAsia="仿宋_GB2312" w:cs="Times New Roman"/>
                <w:color w:val="auto"/>
                <w:lang w:bidi="ar"/>
              </w:rPr>
              <w:t>≤</w:t>
            </w:r>
            <w:r>
              <w:rPr>
                <w:rStyle w:val="12"/>
                <w:rFonts w:hint="default" w:ascii="Times New Roman" w:cs="Times New Roman"/>
                <w:color w:val="auto"/>
                <w:lang w:bidi="ar"/>
              </w:rPr>
              <w:t>50亩）及适度规模经营主体（种植面积≤500亩）达到100家的得16分，以100家为基数，每超过10%加1分，加至20分为止，每低于10%减1分，减至0分为止；由专家根据农事服务中心提供的服务协议、服务记录并结合实地查验、电话回访等进行综合评判得分。</w:t>
            </w:r>
          </w:p>
        </w:tc>
      </w:tr>
      <w:tr w14:paraId="036D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1237" w:type="dxa"/>
            <w:vMerge w:val="continue"/>
          </w:tcPr>
          <w:p w14:paraId="44FE978F">
            <w:pPr>
              <w:spacing w:line="400" w:lineRule="exact"/>
              <w:rPr>
                <w:rFonts w:eastAsia="方正小标宋简体"/>
                <w:szCs w:val="32"/>
              </w:rPr>
            </w:pPr>
          </w:p>
        </w:tc>
        <w:tc>
          <w:tcPr>
            <w:tcW w:w="1932" w:type="dxa"/>
            <w:vAlign w:val="center"/>
          </w:tcPr>
          <w:p w14:paraId="5CAA477E">
            <w:pPr>
              <w:widowControl/>
              <w:spacing w:line="400" w:lineRule="exact"/>
              <w:jc w:val="center"/>
              <w:textAlignment w:val="center"/>
              <w:rPr>
                <w:rFonts w:eastAsia="方正小标宋简体"/>
                <w:szCs w:val="32"/>
              </w:rPr>
            </w:pPr>
            <w:r>
              <w:rPr>
                <w:color w:val="000000"/>
                <w:kern w:val="0"/>
                <w:sz w:val="24"/>
                <w:lang w:bidi="ar"/>
              </w:rPr>
              <w:t>服务面积（20分）</w:t>
            </w:r>
          </w:p>
        </w:tc>
        <w:tc>
          <w:tcPr>
            <w:tcW w:w="11005" w:type="dxa"/>
            <w:vAlign w:val="center"/>
          </w:tcPr>
          <w:p w14:paraId="4B047EB6">
            <w:pPr>
              <w:widowControl/>
              <w:spacing w:line="400" w:lineRule="exact"/>
              <w:textAlignment w:val="center"/>
              <w:rPr>
                <w:rFonts w:eastAsia="方正小标宋简体"/>
                <w:szCs w:val="32"/>
              </w:rPr>
            </w:pPr>
            <w:r>
              <w:rPr>
                <w:color w:val="000000"/>
                <w:kern w:val="0"/>
                <w:sz w:val="24"/>
                <w:lang w:bidi="ar"/>
              </w:rPr>
              <w:t>年服务农作物面积1万亩的得16分，以1万亩为基数，每超过10%加1分，加至20分为止，每低于10%减1分，减至0分为止；由专家根据农事服务中心提供的服务协议、服务记录并结合实地查验、电话回访等进行综合评判得分。</w:t>
            </w:r>
          </w:p>
        </w:tc>
      </w:tr>
      <w:tr w14:paraId="37F3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1237" w:type="dxa"/>
            <w:vMerge w:val="continue"/>
          </w:tcPr>
          <w:p w14:paraId="0C74007D">
            <w:pPr>
              <w:spacing w:line="400" w:lineRule="exact"/>
              <w:rPr>
                <w:rFonts w:eastAsia="方正小标宋简体"/>
                <w:szCs w:val="32"/>
              </w:rPr>
            </w:pPr>
          </w:p>
        </w:tc>
        <w:tc>
          <w:tcPr>
            <w:tcW w:w="1932" w:type="dxa"/>
            <w:vAlign w:val="center"/>
          </w:tcPr>
          <w:p w14:paraId="68A66CF5">
            <w:pPr>
              <w:widowControl/>
              <w:spacing w:line="400" w:lineRule="exact"/>
              <w:jc w:val="center"/>
              <w:textAlignment w:val="center"/>
              <w:rPr>
                <w:rFonts w:eastAsia="方正小标宋简体"/>
                <w:szCs w:val="32"/>
              </w:rPr>
            </w:pPr>
            <w:r>
              <w:rPr>
                <w:color w:val="000000"/>
                <w:kern w:val="0"/>
                <w:sz w:val="24"/>
                <w:lang w:bidi="ar"/>
              </w:rPr>
              <w:t>服务满意度（10分）</w:t>
            </w:r>
          </w:p>
        </w:tc>
        <w:tc>
          <w:tcPr>
            <w:tcW w:w="11005" w:type="dxa"/>
            <w:vAlign w:val="center"/>
          </w:tcPr>
          <w:p w14:paraId="4507B511">
            <w:pPr>
              <w:widowControl/>
              <w:spacing w:line="400" w:lineRule="exact"/>
              <w:textAlignment w:val="center"/>
              <w:rPr>
                <w:rFonts w:eastAsia="方正小标宋简体"/>
                <w:szCs w:val="32"/>
              </w:rPr>
            </w:pPr>
            <w:r>
              <w:rPr>
                <w:color w:val="000000"/>
                <w:kern w:val="0"/>
                <w:sz w:val="24"/>
                <w:lang w:bidi="ar"/>
              </w:rPr>
              <w:t>对服务对接开展随机电话回访，回访比例不低于服务对象总数的20%；由服务对象对服务满意度按1-10分进行评价，所有回访对象平均得分为最后得分。</w:t>
            </w:r>
          </w:p>
        </w:tc>
      </w:tr>
    </w:tbl>
    <w:p w14:paraId="56B79DCC">
      <w:pPr>
        <w:spacing w:line="560" w:lineRule="exact"/>
        <w:sectPr>
          <w:headerReference r:id="rId7" w:type="default"/>
          <w:pgSz w:w="16838" w:h="11906" w:orient="landscape"/>
          <w:pgMar w:top="2098" w:right="1474" w:bottom="1984" w:left="1587" w:header="851" w:footer="992" w:gutter="0"/>
          <w:cols w:space="0" w:num="1"/>
          <w:docGrid w:type="lines" w:linePitch="460" w:charSpace="0"/>
        </w:sectPr>
      </w:pPr>
    </w:p>
    <w:p w14:paraId="494C766C">
      <w:pPr>
        <w:spacing w:line="560" w:lineRule="exact"/>
        <w:rPr>
          <w:rFonts w:hint="eastAsia"/>
        </w:rPr>
      </w:pPr>
      <w:bookmarkStart w:id="0" w:name="signing_date"/>
      <w:bookmarkEnd w:id="0"/>
    </w:p>
    <w:sectPr>
      <w:footerReference r:id="rId8" w:type="even"/>
      <w:pgSz w:w="11906" w:h="16838"/>
      <w:pgMar w:top="2098" w:right="1474" w:bottom="1985" w:left="1588" w:header="851" w:footer="992" w:gutter="0"/>
      <w:cols w:space="0" w:num="1"/>
      <w:docGrid w:type="lines" w:linePitch="4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东文宋体">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3849C">
    <w:pPr>
      <w:pStyle w:val="4"/>
      <w:wordWrap w:val="0"/>
      <w:jc w:val="right"/>
      <w:rPr>
        <w:rFonts w:hint="eastAsia" w:ascii="宋体" w:hAnsi="宋体" w:eastAsia="宋体"/>
        <w:sz w:val="28"/>
        <w:szCs w:val="28"/>
      </w:rPr>
    </w:pPr>
    <w:r>
      <w:rPr>
        <w:rFonts w:ascii="宋体" w:hAnsi="宋体" w:eastAsia="宋体"/>
        <w:sz w:val="28"/>
        <w:szCs w:val="28"/>
      </w:rPr>
      <w:t>—</w:t>
    </w:r>
    <w:sdt>
      <w:sdtPr>
        <w:rPr>
          <w:rFonts w:ascii="宋体" w:hAnsi="宋体" w:eastAsia="宋体"/>
          <w:sz w:val="28"/>
          <w:szCs w:val="28"/>
        </w:rPr>
        <w:id w:val="-307631180"/>
        <w:docPartObj>
          <w:docPartGallery w:val="autotext"/>
        </w:docPartObj>
      </w:sdtPr>
      <w:sdtEndPr>
        <w:rPr>
          <w:rFonts w:ascii="宋体" w:hAnsi="宋体" w:eastAsia="宋体"/>
          <w:sz w:val="28"/>
          <w:szCs w:val="28"/>
        </w:rPr>
      </w:sdtEndPr>
      <w:sdtContent>
        <w:r>
          <w:rPr>
            <w:rFonts w:ascii="宋体" w:hAnsi="宋体" w:eastAsia="宋体"/>
            <w:sz w:val="28"/>
            <w:szCs w:val="28"/>
          </w:rPr>
          <w:t xml:space="preserve">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17</w:t>
        </w:r>
        <w:r>
          <w:rPr>
            <w:rFonts w:eastAsia="宋体"/>
            <w:sz w:val="28"/>
            <w:szCs w:val="28"/>
          </w:rPr>
          <w:fldChar w:fldCharType="end"/>
        </w:r>
        <w:r>
          <w:rPr>
            <w:rFonts w:ascii="宋体" w:hAnsi="宋体" w:eastAsia="宋体"/>
            <w:sz w:val="28"/>
            <w:szCs w:val="28"/>
          </w:rPr>
          <w:t xml:space="preserve"> </w:t>
        </w:r>
      </w:sdtContent>
    </w:sdt>
    <w:r>
      <w:rPr>
        <w:rFonts w:ascii="宋体" w:hAnsi="宋体" w:eastAsia="宋体"/>
        <w:sz w:val="28"/>
        <w:szCs w:val="28"/>
      </w:rPr>
      <w:t>—</w:t>
    </w:r>
    <w:r>
      <w:rPr>
        <w:rFonts w:hint="eastAsia" w:ascii="宋体" w:hAnsi="宋体" w:eastAsia="宋体"/>
        <w:sz w:val="28"/>
        <w:szCs w:val="28"/>
      </w:rPr>
      <w:t xml:space="preserve"> </w:t>
    </w:r>
    <w:r>
      <w:rPr>
        <w:rFonts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77ED5">
    <w:pPr>
      <w:pStyle w:val="4"/>
      <w:ind w:firstLine="268" w:firstLineChars="100"/>
    </w:pPr>
    <w:r>
      <w:rPr>
        <w:rFonts w:ascii="宋体" w:hAnsi="宋体" w:eastAsia="宋体"/>
        <w:sz w:val="28"/>
        <w:szCs w:val="28"/>
      </w:rPr>
      <w:t>—</w:t>
    </w:r>
    <w:sdt>
      <w:sdtPr>
        <w:rPr>
          <w:rFonts w:ascii="宋体" w:hAnsi="宋体" w:eastAsia="宋体"/>
          <w:sz w:val="28"/>
          <w:szCs w:val="28"/>
        </w:rPr>
        <w:id w:val="1409505622"/>
        <w:docPartObj>
          <w:docPartGallery w:val="autotext"/>
        </w:docPartObj>
      </w:sdtPr>
      <w:sdtEndPr>
        <w:rPr>
          <w:rFonts w:ascii="宋体" w:hAnsi="宋体" w:eastAsia="宋体"/>
          <w:sz w:val="28"/>
          <w:szCs w:val="28"/>
        </w:rPr>
      </w:sdtEndPr>
      <w:sdtContent>
        <w:r>
          <w:rPr>
            <w:rFonts w:ascii="宋体" w:hAnsi="宋体" w:eastAsia="宋体"/>
            <w:sz w:val="28"/>
            <w:szCs w:val="28"/>
          </w:rPr>
          <w:t xml:space="preserve">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16</w:t>
        </w:r>
        <w:r>
          <w:rPr>
            <w:rFonts w:eastAsia="宋体"/>
            <w:sz w:val="28"/>
            <w:szCs w:val="28"/>
          </w:rPr>
          <w:fldChar w:fldCharType="end"/>
        </w:r>
        <w:r>
          <w:rPr>
            <w:rFonts w:ascii="宋体" w:hAnsi="宋体" w:eastAsia="宋体"/>
            <w:sz w:val="28"/>
            <w:szCs w:val="28"/>
          </w:rPr>
          <w:t xml:space="preserve"> </w:t>
        </w:r>
      </w:sdtContent>
    </w:sdt>
    <w:r>
      <w:rPr>
        <w:rFonts w:ascii="宋体" w:hAnsi="宋体" w:eastAsia="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FCDD2">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BAF7D">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val="1"/>
  <w:drawingGridHorizontalSpacing w:val="154"/>
  <w:drawingGridVerticalSpacing w:val="230"/>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94.11.199:8080/seeyon/officeservlet"/>
  </w:docVars>
  <w:rsids>
    <w:rsidRoot w:val="16E401CC"/>
    <w:rsid w:val="00205BA7"/>
    <w:rsid w:val="0025777F"/>
    <w:rsid w:val="00286E6B"/>
    <w:rsid w:val="005249AD"/>
    <w:rsid w:val="005E1BA8"/>
    <w:rsid w:val="008640C4"/>
    <w:rsid w:val="00941699"/>
    <w:rsid w:val="00BB30BD"/>
    <w:rsid w:val="00E73D51"/>
    <w:rsid w:val="00ED2D7E"/>
    <w:rsid w:val="01856881"/>
    <w:rsid w:val="064F0082"/>
    <w:rsid w:val="068F00E1"/>
    <w:rsid w:val="0DC83A03"/>
    <w:rsid w:val="0E06452B"/>
    <w:rsid w:val="161C2B3E"/>
    <w:rsid w:val="16E401CC"/>
    <w:rsid w:val="1AB04D0D"/>
    <w:rsid w:val="22491C56"/>
    <w:rsid w:val="254C4AC2"/>
    <w:rsid w:val="29907C3F"/>
    <w:rsid w:val="2BE412CA"/>
    <w:rsid w:val="2BF77F01"/>
    <w:rsid w:val="2D827D1E"/>
    <w:rsid w:val="34EC4C37"/>
    <w:rsid w:val="350C7DCA"/>
    <w:rsid w:val="38A8133A"/>
    <w:rsid w:val="39DB03B0"/>
    <w:rsid w:val="3D5E0C45"/>
    <w:rsid w:val="3E8527A2"/>
    <w:rsid w:val="47A8519E"/>
    <w:rsid w:val="492905A3"/>
    <w:rsid w:val="49F8204D"/>
    <w:rsid w:val="4A015677"/>
    <w:rsid w:val="4DAF4C6A"/>
    <w:rsid w:val="4E872543"/>
    <w:rsid w:val="4EA03605"/>
    <w:rsid w:val="514F07F2"/>
    <w:rsid w:val="5E0F1B60"/>
    <w:rsid w:val="613E2453"/>
    <w:rsid w:val="6189617B"/>
    <w:rsid w:val="62261C1B"/>
    <w:rsid w:val="67E6435E"/>
    <w:rsid w:val="6D717C1E"/>
    <w:rsid w:val="6FFD4D6F"/>
    <w:rsid w:val="70BF9C04"/>
    <w:rsid w:val="730E028E"/>
    <w:rsid w:val="759F3666"/>
    <w:rsid w:val="75DB226C"/>
    <w:rsid w:val="79AC5FC4"/>
    <w:rsid w:val="7B1240D2"/>
    <w:rsid w:val="7D9A1897"/>
    <w:rsid w:val="7D9F17B7"/>
    <w:rsid w:val="7F6916AB"/>
    <w:rsid w:val="9DBB80C8"/>
    <w:rsid w:val="F2736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2">
    <w:name w:val="heading 3"/>
    <w:basedOn w:val="1"/>
    <w:next w:val="1"/>
    <w:qFormat/>
    <w:uiPriority w:val="0"/>
    <w:pPr>
      <w:keepNext/>
      <w:keepLines/>
      <w:spacing w:before="260" w:after="260" w:line="415" w:lineRule="auto"/>
      <w:outlineLvl w:val="2"/>
    </w:pPr>
    <w:rPr>
      <w:rFonts w:eastAsia="宋体"/>
      <w:b/>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rFonts w:eastAsia="宋体"/>
    </w:rPr>
  </w:style>
  <w:style w:type="paragraph" w:styleId="4">
    <w:name w:val="footer"/>
    <w:basedOn w:val="1"/>
    <w:next w:val="1"/>
    <w:link w:val="14"/>
    <w:unhideWhenUsed/>
    <w:qFormat/>
    <w:uiPriority w:val="99"/>
    <w:pPr>
      <w:tabs>
        <w:tab w:val="center" w:pos="4153"/>
        <w:tab w:val="right" w:pos="8306"/>
      </w:tabs>
      <w:overflowPunct w:val="0"/>
      <w:autoSpaceDE w:val="0"/>
      <w:autoSpaceDN w:val="0"/>
      <w:adjustRightInd w:val="0"/>
      <w:textAlignment w:val="baseline"/>
    </w:pPr>
    <w:rPr>
      <w:sz w:val="20"/>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rPr>
      <w:rFonts w:ascii="Calibri" w:hAnsi="Calibri" w:eastAsia="宋体"/>
      <w:sz w:val="21"/>
    </w:rPr>
  </w:style>
  <w:style w:type="character" w:styleId="9">
    <w:name w:val="page number"/>
    <w:basedOn w:val="8"/>
    <w:unhideWhenUsed/>
    <w:qFormat/>
    <w:uiPriority w:val="99"/>
  </w:style>
  <w:style w:type="character" w:customStyle="1" w:styleId="10">
    <w:name w:val="NormalCharacter"/>
    <w:qFormat/>
    <w:uiPriority w:val="0"/>
    <w:rPr>
      <w:rFonts w:ascii="Calibri" w:hAnsi="Calibri" w:eastAsia="宋体" w:cs="Times New Roman"/>
    </w:rPr>
  </w:style>
  <w:style w:type="character" w:customStyle="1" w:styleId="11">
    <w:name w:val="font01"/>
    <w:qFormat/>
    <w:uiPriority w:val="0"/>
    <w:rPr>
      <w:rFonts w:ascii="东文宋体" w:hAnsi="东文宋体" w:eastAsia="东文宋体" w:cs="东文宋体"/>
      <w:color w:val="000000"/>
      <w:sz w:val="24"/>
      <w:szCs w:val="24"/>
      <w:u w:val="none"/>
    </w:rPr>
  </w:style>
  <w:style w:type="character" w:customStyle="1" w:styleId="12">
    <w:name w:val="font11"/>
    <w:qFormat/>
    <w:uiPriority w:val="0"/>
    <w:rPr>
      <w:rFonts w:hint="eastAsia" w:ascii="仿宋_GB2312" w:eastAsia="仿宋_GB2312" w:cs="仿宋_GB2312"/>
      <w:color w:val="000000"/>
      <w:sz w:val="24"/>
      <w:szCs w:val="24"/>
      <w:u w:val="none"/>
    </w:rPr>
  </w:style>
  <w:style w:type="character" w:customStyle="1" w:styleId="13">
    <w:name w:val="页眉 字符"/>
    <w:basedOn w:val="8"/>
    <w:link w:val="5"/>
    <w:qFormat/>
    <w:uiPriority w:val="0"/>
    <w:rPr>
      <w:rFonts w:eastAsia="仿宋_GB2312"/>
      <w:spacing w:val="-6"/>
      <w:kern w:val="2"/>
      <w:sz w:val="18"/>
      <w:szCs w:val="18"/>
    </w:rPr>
  </w:style>
  <w:style w:type="character" w:customStyle="1" w:styleId="14">
    <w:name w:val="页脚 字符"/>
    <w:basedOn w:val="8"/>
    <w:link w:val="4"/>
    <w:qFormat/>
    <w:uiPriority w:val="99"/>
    <w:rPr>
      <w:rFonts w:eastAsia="仿宋_GB2312"/>
      <w:spacing w:val="-6"/>
      <w:kern w:val="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04f6398d-c818-464e-98f0-acbfb3ef0d35</errorID>
      <errorWord>服务型新型农业经营主体</errorWord>
      <group>L1_Grammar</group>
      <groupName>语法问题</groupName>
      <ability>L2_Order</ability>
      <abilityName>语序不当</abilityName>
      <candidateList>
        <item>新型农业经营主体服务</item>
      </candidateList>
      <explain>句子可能没有遵循时空、逻辑顺序，或者介词、关联词等位置不当。</explain>
      <paraID>7B05FA94</paraID>
      <start>8</start>
      <end>19</end>
      <status>unmodified</status>
      <modifiedWord/>
      <trackRevisions>false</trackRevisions>
    </reviewItem>
    <reviewItem>
      <errorID>7ba29dc2-510d-4dec-9fac-29be71bfe986</errorID>
      <errorWord>(</errorWord>
      <group>L1_Format</group>
      <groupName>格式问题</groupName>
      <ability>L2_HalfPunc_CN</ability>
      <abilityName>全半角问题</abilityName>
      <candidateList>
        <item>（</item>
      </candidateList>
      <explain>文本全半角错误。</explain>
      <paraID>485C32EE</paraID>
      <start>40</start>
      <end>41</end>
      <status>modified</status>
      <modifiedWord>（</modifiedWord>
      <trackRevisions>false</trackRevisions>
    </reviewItem>
    <reviewItem>
      <errorID>0edf0cbb-5d69-4cef-96f3-cc213204ac00</errorID>
      <errorWord>)</errorWord>
      <group>L1_Format</group>
      <groupName>格式问题</groupName>
      <ability>L2_HalfPunc_CN</ability>
      <abilityName>全半角问题</abilityName>
      <candidateList>
        <item>）</item>
      </candidateList>
      <explain>文本全半角错误。</explain>
      <paraID>485C32EE</paraID>
      <start>52</start>
      <end>53</end>
      <status>modified</status>
      <modifiedWord>）</modifiedWord>
      <trackRevisions>false</trackRevisions>
    </reviewItem>
    <reviewItem>
      <errorID>772a4d8e-d8d8-4e45-a345-768b5ab3eedc</errorID>
      <errorWord>(</errorWord>
      <group>L1_Format</group>
      <groupName>格式问题</groupName>
      <ability>L2_HalfPunc_CN</ability>
      <abilityName>全半角问题</abilityName>
      <candidateList>
        <item>（</item>
      </candidateList>
      <explain>文本全半角错误。</explain>
      <paraID>546032F4</paraID>
      <start>188</start>
      <end>189</end>
      <status>modified</status>
      <modifiedWord>（</modifiedWord>
      <trackRevisions>false</trackRevisions>
    </reviewItem>
    <reviewItem>
      <errorID>a8c867c6-a83f-47e8-b605-20f88f4455f9</errorID>
      <errorWord>)</errorWord>
      <group>L1_Format</group>
      <groupName>格式问题</groupName>
      <ability>L2_HalfPunc_CN</ability>
      <abilityName>全半角问题</abilityName>
      <candidateList>
        <item>）</item>
      </candidateList>
      <explain>文本全半角错误。</explain>
      <paraID>546032F4</paraID>
      <start>205</start>
      <end>206</end>
      <status>modified</status>
      <modifiedWord>）</modifiedWord>
      <trackRevisions>false</trackRevisions>
    </reviewItem>
    <reviewItem>
      <errorID>c10b2710-b067-4455-a2e1-0bb871f78c9a</errorID>
      <errorWord>其它同类型</errorWord>
      <group>L1_Word</group>
      <groupName>字词问题</groupName>
      <ability>L2_Alias</ability>
      <abilityName>也作/曾用词</abilityName>
      <candidateList>
        <item>其他同类型</item>
      </candidateList>
      <explain>词汇[其它同类型]为不规范表述或旧称，其规范书面表述为[其他同类型]。</explain>
      <paraID> 6D741AB</paraID>
      <start>63</start>
      <end>68</end>
      <status>unmodified</status>
      <modifiedWord/>
      <trackRevisions>false</trackRevisions>
    </reviewItem>
    <reviewItem>
      <errorID>59c4e5de-086e-4b3d-896e-31b3c91343ab</errorID>
      <errorWord>,</errorWord>
      <group>L1_Format</group>
      <groupName>格式问题</groupName>
      <ability>L2_HalfPunc_CN</ability>
      <abilityName>全半角问题</abilityName>
      <candidateList>
        <item>，</item>
      </candidateList>
      <explain>文本全半角错误。</explain>
      <paraID>1D776F71</paraID>
      <start>173</start>
      <end>174</end>
      <status>modified</status>
      <modifiedWord>，</modifiedWord>
      <trackRevisions>false</trackRevisions>
    </reviewItem>
    <reviewItem>
      <errorID>9d7ed0c0-870f-4611-8d16-47e0a7ed679c</errorID>
      <errorWord>限期整改，整改不</errorWord>
      <group>L1_Word</group>
      <groupName>字词问题</groupName>
      <ability>L2_Typo</ability>
      <abilityName>字词错误</abilityName>
      <candidateList>
        <item>限期整改，对整改不</item>
      </candidateList>
      <explain/>
      <paraID> AFD8248</paraID>
      <start>111</start>
      <end>119</end>
      <status>unmodified</status>
      <modifiedWord/>
      <trackRevisions>false</trackRevisions>
    </reviewItem>
    <reviewItem>
      <errorID>e1e00743-edb2-4c61-86e7-f04c426c88aa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AFD8248</paraID>
      <start>208</start>
      <end>209</end>
      <status>unmodified</status>
      <modifiedWord/>
      <trackRevisions>false</trackRevisions>
    </reviewItem>
    <reviewItem>
      <errorID>bdb183d3-3eea-4b0b-9301-3386d4b69e94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AFD8248</paraID>
      <start>224</start>
      <end>225</end>
      <status>unmodified</status>
      <modifiedWord/>
      <trackRevisions>false</trackRevisions>
    </reviewItem>
    <reviewItem>
      <errorID>2f1c306c-0add-4e4f-8be8-b4ba145c28e7</errorID>
      <errorWord>(</errorWord>
      <group>L1_Format</group>
      <groupName>格式问题</groupName>
      <ability>L2_HalfPunc_CN</ability>
      <abilityName>全半角问题</abilityName>
      <candidateList>
        <item>（</item>
      </candidateList>
      <explain>文本全半角错误。</explain>
      <paraID>3096C4C9</paraID>
      <start>11</start>
      <end>12</end>
      <status>modified</status>
      <modifiedWord>（</modifiedWord>
      <trackRevisions>false</trackRevisions>
    </reviewItem>
    <reviewItem>
      <errorID>fbd927ec-9eff-444c-8cf2-ae716269ade3</errorID>
      <errorWord>)</errorWord>
      <group>L1_Format</group>
      <groupName>格式问题</groupName>
      <ability>L2_HalfPunc_CN</ability>
      <abilityName>全半角问题</abilityName>
      <candidateList>
        <item>）</item>
      </candidateList>
      <explain>文本全半角错误。</explain>
      <paraID>3096C4C9</paraID>
      <start>14</start>
      <end>15</end>
      <status>modified</status>
      <modifiedWord>）</modifiedWord>
      <trackRevisions>false</trackRevisions>
    </reviewItem>
    <reviewItem>
      <errorID>7a0a3428-c1be-4668-a9fa-73045cfc4f9e</errorID>
      <errorWord>全生长周期</errorWord>
      <group>L1_Political</group>
      <groupName>政治性问题</groupName>
      <ability>L2_Keyword</ability>
      <abilityName>固定表述</abilityName>
      <candidateList>
        <item>全生命周期</item>
      </candidateList>
      <explain>词汇“全生命周期”在特定场景下为固定表述形式，请确认此处的“全生长周期”是否存在不当。</explain>
      <paraID>75C8FD80</paraID>
      <start>217</start>
      <end>222</end>
      <status>unmodified</status>
      <modifiedWord/>
      <trackRevisions>false</trackRevisions>
    </reviewItem>
    <reviewItem>
      <errorID>aab21ecd-0f73-4247-a992-d56bb0541cf5</errorID>
      <errorWord>准</errorWord>
      <group>L1_Word</group>
      <groupName>字词问题</groupName>
      <ability>L2_Typo</ability>
      <abilityName>字词错误</abilityName>
      <candidateList>
        <item>准和</item>
      </candidateList>
      <explain/>
      <paraID>2962BC60</paraID>
      <start>78</start>
      <end>79</end>
      <status>unmodified</status>
      <modifiedWord/>
      <trackRevisions>false</trackRevisions>
    </reviewItem>
    <reviewItem>
      <errorID>8b005568-8b4f-48d5-abeb-e005cfdf9ae1</errorID>
      <errorWord>需具备</errorWord>
      <group>L1_Word</group>
      <groupName>字词问题</groupName>
      <ability>L2_Typo</ability>
      <abilityName>字词错误</abilityName>
      <candidateList>
        <item>须具备</item>
      </candidateList>
      <explain/>
      <paraID>5AC64893</paraID>
      <start>66</start>
      <end>69</end>
      <status>unmodified</status>
      <modifiedWord/>
      <trackRevisions>false</trackRevisions>
    </reviewItem>
    <reviewItem>
      <errorID>2c7de59d-533a-41d3-aab3-3cbb0392410b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4507B511</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f91a0a89-0a0f-4524-9075-e7a562eec60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6472</Words>
  <Characters>6625</Characters>
  <Lines>52</Lines>
  <Paragraphs>14</Paragraphs>
  <TotalTime>31</TotalTime>
  <ScaleCrop>false</ScaleCrop>
  <LinksUpToDate>false</LinksUpToDate>
  <CharactersWithSpaces>6682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2026-07-31T01:40:00Z</dcterms:created>
  <dc:creator>Administrator</dc:creator>
  <cp:lastModifiedBy>jiangyongmeimei</cp:lastModifiedBy>
  <dcterms:modified xsi:type="dcterms:W3CDTF">2026-08-04T01:03:23Z</dcterms:modified>
  <dc:title>附件n</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eyJoZGlkIjoiZGRmNDdkZDYyYWNhMmMwOTBjMDlmN2U2MGJhY2M0MGQiLCJ1c2VySWQiOiIxMjI2NDE2MDkwIn0=</vt:lpwstr>
  </property>
  <property fmtid="{D5CDD505-2E9C-101B-9397-08002B2CF9AE}" pid="4" name="ICV">
    <vt:lpwstr>45F5271221DB4F1683B2B6F4254147E9_12</vt:lpwstr>
  </property>
</Properties>
</file>