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附件2</w:t>
      </w:r>
      <w:bookmarkStart w:id="1" w:name="_GoBack"/>
      <w:bookmarkEnd w:id="1"/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jc w:val="both"/>
        <w:textAlignment w:val="auto"/>
        <w:rPr>
          <w:rFonts w:ascii="方正小标宋简体" w:eastAsia="方正小标宋简体"/>
          <w:bCs/>
          <w:color w:val="548235" w:themeColor="accent6" w:themeShade="BF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color w:val="auto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sz w:val="44"/>
          <w:szCs w:val="44"/>
          <w:lang w:eastAsia="zh-CN"/>
        </w:rPr>
        <w:t>河北</w:t>
      </w:r>
      <w:r>
        <w:rPr>
          <w:rFonts w:hint="eastAsia" w:ascii="方正小标宋简体" w:eastAsia="方正小标宋简体"/>
          <w:bCs/>
          <w:color w:val="auto"/>
          <w:sz w:val="44"/>
          <w:szCs w:val="44"/>
        </w:rPr>
        <w:t>省农机购置与应用补贴“优机”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color w:val="auto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sz w:val="44"/>
          <w:szCs w:val="44"/>
        </w:rPr>
        <w:t>成本效益评价制度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仿宋_GB2312" w:eastAsia="仿宋_GB2312"/>
          <w:color w:val="548235" w:themeColor="accent6" w:themeShade="BF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为贯彻落实农业农村部“优机优补”“有进有出”政策要求，科学引导农机购置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与应用</w:t>
      </w:r>
      <w:r>
        <w:rPr>
          <w:rFonts w:hint="eastAsia" w:ascii="仿宋_GB2312" w:eastAsia="仿宋_GB2312"/>
          <w:color w:val="auto"/>
          <w:sz w:val="32"/>
          <w:szCs w:val="32"/>
        </w:rPr>
        <w:t>补贴资金投向，切实降低农业生产成本、提高农业生产效率，制定本制度。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黑体" w:hAnsi="黑体" w:eastAsia="黑体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Cs/>
          <w:color w:val="auto"/>
          <w:sz w:val="32"/>
          <w:szCs w:val="32"/>
        </w:rPr>
        <w:t>一、总则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楷体" w:cs="Times New Roman"/>
          <w:bCs/>
          <w:color w:val="auto"/>
          <w:sz w:val="32"/>
          <w:szCs w:val="32"/>
        </w:rPr>
        <w:t>制度目标</w:t>
      </w:r>
      <w:r>
        <w:rPr>
          <w:rFonts w:hint="eastAsia" w:ascii="MS Mincho" w:hAnsi="MS Mincho" w:eastAsia="MS Mincho" w:cs="MS Mincho"/>
          <w:bCs/>
          <w:color w:val="auto"/>
          <w:sz w:val="32"/>
          <w:szCs w:val="32"/>
        </w:rPr>
        <w:t>‌</w:t>
      </w:r>
      <w:r>
        <w:rPr>
          <w:rFonts w:ascii="Times New Roman" w:hAnsi="Times New Roman" w:eastAsia="楷体" w:cs="Times New Roman"/>
          <w:bCs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以降低农业生产成本、提高农业生产效率为核心，建立科学化、动态化的农机具成本效益评价体系，推动相关机具进入“优机优补”补贴范围，实现农机补贴资金效益最大化，确保农民种粮收益稳定提升。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楷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楷体" w:cs="Times New Roman"/>
          <w:bCs/>
          <w:color w:val="auto"/>
          <w:sz w:val="32"/>
          <w:szCs w:val="32"/>
        </w:rPr>
        <w:t>适用范围</w:t>
      </w:r>
      <w:r>
        <w:rPr>
          <w:rFonts w:hint="eastAsia" w:ascii="MS Mincho" w:hAnsi="MS Mincho" w:eastAsia="MS Mincho" w:cs="MS Mincho"/>
          <w:bCs/>
          <w:color w:val="auto"/>
          <w:sz w:val="32"/>
          <w:szCs w:val="32"/>
        </w:rPr>
        <w:t>‌</w:t>
      </w:r>
      <w:r>
        <w:rPr>
          <w:rFonts w:hint="eastAsia" w:ascii="楷体" w:hAnsi="楷体" w:eastAsia="楷体" w:cs="楷体"/>
          <w:bCs/>
          <w:color w:val="auto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“优机优补”范围的优机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楷体" w:cs="Times New Roman"/>
          <w:bCs/>
          <w:color w:val="auto"/>
          <w:sz w:val="32"/>
          <w:szCs w:val="32"/>
        </w:rPr>
        <w:t>调整原则：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建立评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价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机制，实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现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动态调整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二、评价指标体系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  <w:lang w:eastAsia="zh-CN"/>
        </w:rPr>
        <w:t>技术性能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指标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40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分）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1.智能化和信息化水平：无智能功能(0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5分)；有基础监测、自动控制等功能(6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10分)；有智能决策、数据互联功能(11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15分)。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2.作业精度与质量：满足基本作业，精度一般(0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5分)；精度较高，损失率/误差低(6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10分)；高精度，显著优于行业标准(11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15分)。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3.技术创新性与专利：无专利，常规技术(0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5分)；实用新型专利(6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8分)；核心技术发明专利(9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10分)。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（二）经济效益（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0分）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1.作业效率：效率低于行业平均(0分)；达到行业平均或略高于行业平均(1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5分)；效率翻倍或革命性提升(6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10分)。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2.节本能力：评估种子、化肥、农药、燃油等投入成本的程度。高于行业平均(0分)；达到行业平均或略低于行业平均(1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5分)；显著低于行业平均(6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10分)。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3.故障率：故障率高(0分)；故障率一般(1—5分)；故障率低，耐用性好(6—10分)。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（三）社会效益（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  <w:lang w:val="en-US" w:eastAsia="zh-CN"/>
        </w:rPr>
        <w:t>30</w:t>
      </w:r>
      <w:r>
        <w:rPr>
          <w:rFonts w:hint="eastAsia" w:ascii="方正楷体_GBK" w:hAnsi="方正楷体_GBK" w:eastAsia="方正楷体_GBK" w:cs="方正楷体_GBK"/>
          <w:bCs/>
          <w:color w:val="auto"/>
          <w:sz w:val="32"/>
          <w:szCs w:val="32"/>
        </w:rPr>
        <w:t>分）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1.对粮食/农产品安全的贡献：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通用机型(0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5分)；能应对特定农艺或恶劣工况(6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10分)；对关键作物单产有明显提升作用(11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15分)。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2.节能减排效果：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符合国标(0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5分)；能耗/排放显著低于国标(6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10分)；采用新能源（电动、氢能等），近零排放(11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15分)。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</w:rPr>
        <w:t>三</w:t>
      </w: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、评价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</w:rPr>
        <w:t>结果运用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综合得分=用户打分×0.4＋行业专家打分×0.3＋管理部门打分×0.3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</w:t>
      </w:r>
      <w:bookmarkStart w:id="0" w:name="OLE_LINK2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综合得分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≥85分：保留“优机优补”目录。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综合得分70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84分：保留一年资格，第二年得分低于85分，直接退出。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综合得分＜70分：退出“优机优补”范围。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（二）探索直接采信有资质的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第三方机构抽查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检测结果试点，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或用户回访，严惩数据造假行为，对存在数据造假企业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《农业机械购置补贴产品违规经营行为处理办法》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及相关文件规定处理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548235" w:themeColor="accent6" w:themeShade="BF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附件：“优机优补”机具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评价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表</w:t>
      </w:r>
    </w:p>
    <w:p>
      <w:pPr>
        <w:widowControl/>
        <w:jc w:val="left"/>
        <w:rPr>
          <w:rFonts w:ascii="Times New Roman" w:hAnsi="Times New Roman" w:eastAsia="仿宋_GB2312" w:cs="Times New Roman"/>
          <w:color w:val="548235" w:themeColor="accent6" w:themeShade="BF"/>
          <w:sz w:val="32"/>
          <w:szCs w:val="32"/>
        </w:rPr>
      </w:pPr>
      <w:r>
        <w:rPr>
          <w:rFonts w:ascii="Times New Roman" w:hAnsi="Times New Roman" w:eastAsia="仿宋_GB2312" w:cs="Times New Roman"/>
          <w:color w:val="548235" w:themeColor="accent6" w:themeShade="BF"/>
          <w:sz w:val="32"/>
          <w:szCs w:val="32"/>
        </w:rPr>
        <w:br w:type="page"/>
      </w:r>
    </w:p>
    <w:p>
      <w:pPr>
        <w:spacing w:line="560" w:lineRule="exact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附件</w:t>
      </w:r>
    </w:p>
    <w:p>
      <w:pPr>
        <w:spacing w:after="312" w:afterLines="100" w:line="560" w:lineRule="exact"/>
        <w:jc w:val="center"/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auto"/>
          <w:sz w:val="36"/>
          <w:szCs w:val="36"/>
        </w:rPr>
        <w:t>“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</w:rPr>
        <w:t>优机”成本效益评价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lang w:eastAsia="zh-CN"/>
        </w:rPr>
        <w:t>打分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生产企业：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型号名称：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tbl>
      <w:tblPr>
        <w:tblStyle w:val="4"/>
        <w:tblW w:w="93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684"/>
        <w:gridCol w:w="5640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eastAsia="zh-CN"/>
              </w:rPr>
              <w:t>评价</w:t>
            </w:r>
            <w:r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168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eastAsia="zh-CN"/>
              </w:rPr>
              <w:t>评价</w:t>
            </w:r>
            <w:r>
              <w:rPr>
                <w:rFonts w:hint="eastAsia" w:ascii="黑体" w:hAnsi="黑体" w:eastAsia="黑体" w:cs="Times New Roman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56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8"/>
                <w:szCs w:val="28"/>
                <w:lang w:eastAsia="zh-CN"/>
              </w:rPr>
              <w:t>评分标准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Times New Roman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性能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分）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智能化和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信息化水平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(0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—5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无智能功能；(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分)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基础监测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自动控制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等功能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分)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智能决策、数据互联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功能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2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作业精度   与质量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5分)满足基本作业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精度一般；(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精度较高，损失率/误差低；(1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高精度，显著优于行业标准。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2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技术创新性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与专利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5分) 无专利，常规技术；(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实用新型专利；(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核心技术发明专利。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2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经济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分）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作业效率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(0分) 效率低于行业平均；(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达到行业平均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或略高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于行业平均；(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效率翻倍或革命性提升。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12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节本能力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评估种子、化肥、农药、燃油等投入成本的程度。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(0分)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于行业平均；(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达到行业平均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或略低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于行业平均；(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分)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显著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低于行业平均。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2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故障率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(0分) 故障率高；(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故障率一般；(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分) 故障率低，耐用性好。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12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0分）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对粮食/农产品安全的贡献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(0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5分) 通用机型；(6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10分) 能应对特定农艺或恶劣工况；(11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15分) 对关键作物单产有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明显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提升作用。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节能减排效果</w:t>
            </w:r>
          </w:p>
        </w:tc>
        <w:tc>
          <w:tcPr>
            <w:tcW w:w="5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(0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5分) 符合国标；(6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10分) 能耗/排放显著低于国标；(11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15分) 采用新能源（电动、氢能等），近零排放。</w:t>
            </w:r>
          </w:p>
        </w:tc>
        <w:tc>
          <w:tcPr>
            <w:tcW w:w="7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6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总  分</w:t>
            </w:r>
          </w:p>
        </w:tc>
        <w:tc>
          <w:tcPr>
            <w:tcW w:w="78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color w:val="auto"/>
          <w:sz w:val="36"/>
          <w:szCs w:val="36"/>
          <w:lang w:eastAsia="zh-CN"/>
        </w:rPr>
        <w:t>“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</w:rPr>
        <w:t>优机”成本效益评价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lang w:eastAsia="zh-CN"/>
        </w:rPr>
        <w:t>得分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所属品目：</w:t>
      </w:r>
    </w:p>
    <w:tbl>
      <w:tblPr>
        <w:tblStyle w:val="4"/>
        <w:tblW w:w="85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772"/>
        <w:gridCol w:w="1262"/>
        <w:gridCol w:w="1294"/>
        <w:gridCol w:w="1392"/>
        <w:gridCol w:w="1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8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生产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企业</w:t>
            </w:r>
          </w:p>
        </w:tc>
        <w:tc>
          <w:tcPr>
            <w:tcW w:w="177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型号名称</w:t>
            </w:r>
          </w:p>
        </w:tc>
        <w:tc>
          <w:tcPr>
            <w:tcW w:w="394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单项打分</w:t>
            </w:r>
          </w:p>
        </w:tc>
        <w:tc>
          <w:tcPr>
            <w:tcW w:w="134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综合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4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7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用户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行业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专家</w:t>
            </w:r>
          </w:p>
        </w:tc>
        <w:tc>
          <w:tcPr>
            <w:tcW w:w="1392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管理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Times New Roman"/>
                <w:color w:val="auto"/>
                <w:sz w:val="32"/>
                <w:szCs w:val="32"/>
                <w:lang w:eastAsia="zh-CN"/>
              </w:rPr>
              <w:t>部门</w:t>
            </w:r>
          </w:p>
        </w:tc>
        <w:tc>
          <w:tcPr>
            <w:tcW w:w="134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tabs>
                <w:tab w:val="left" w:pos="608"/>
              </w:tabs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tabs>
                <w:tab w:val="left" w:pos="608"/>
              </w:tabs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92" w:type="dxa"/>
            <w:vAlign w:val="center"/>
          </w:tcPr>
          <w:p>
            <w:pPr>
              <w:tabs>
                <w:tab w:val="left" w:pos="608"/>
              </w:tabs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7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4" w:hRule="atLeast"/>
          <w:jc w:val="center"/>
        </w:trPr>
        <w:tc>
          <w:tcPr>
            <w:tcW w:w="14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评价结果运用</w:t>
            </w:r>
          </w:p>
        </w:tc>
        <w:tc>
          <w:tcPr>
            <w:tcW w:w="7064" w:type="dxa"/>
            <w:gridSpan w:val="5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综合得分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=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用户打分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×0.4＋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行业专家打分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×0.3＋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管理部门打分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×0.3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1.综合得分≥85分：保留“优机优补”目录。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2.综合得分70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84分：保留一年资格，第二年得</w:t>
            </w:r>
          </w:p>
          <w:p>
            <w:pPr>
              <w:spacing w:line="400" w:lineRule="exact"/>
              <w:ind w:firstLine="320" w:firstLineChars="1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分低于85分，直接退出。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3.综合得分＜70分：退出“优机优补”范围。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352F9"/>
    <w:rsid w:val="4843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2026-08-19T08:35:00Z</dcterms:created>
  <dc:creator>郭振环</dc:creator>
  <cp:lastModifiedBy>郭振环</cp:lastModifiedBy>
  <dcterms:modified xsi:type="dcterms:W3CDTF">2026-08-19T08:35:33Z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