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auto"/>
          <w:sz w:val="32"/>
          <w:szCs w:val="32"/>
          <w:lang w:val="en-US" w:eastAsia="zh-CN"/>
        </w:rPr>
      </w:pPr>
      <w:bookmarkStart w:id="0" w:name="_GoBack"/>
      <w:bookmarkEnd w:id="0"/>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附件3</w:t>
      </w:r>
    </w:p>
    <w:p>
      <w:pPr>
        <w:keepNext w:val="0"/>
        <w:keepLines w:val="0"/>
        <w:pageBreakBefore w:val="0"/>
        <w:widowControl/>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b w:val="0"/>
          <w:bCs w:val="0"/>
          <w:color w:val="E46C0A" w:themeColor="accent6" w:themeShade="BF"/>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val="en-US" w:eastAsia="zh-CN"/>
        </w:rPr>
        <w:t>河北省</w:t>
      </w:r>
      <w:r>
        <w:rPr>
          <w:rFonts w:hint="eastAsia" w:ascii="方正小标宋_GBK" w:hAnsi="方正小标宋_GBK" w:eastAsia="方正小标宋_GBK" w:cs="方正小标宋_GBK"/>
          <w:color w:val="auto"/>
          <w:sz w:val="44"/>
          <w:szCs w:val="44"/>
          <w:lang w:eastAsia="zh-CN"/>
        </w:rPr>
        <w:t>农机购置与应用补贴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eastAsia="zh-CN"/>
        </w:rPr>
        <w:t>“优机”</w:t>
      </w:r>
      <w:r>
        <w:rPr>
          <w:rFonts w:hint="eastAsia" w:ascii="方正小标宋_GBK" w:hAnsi="方正小标宋_GBK" w:eastAsia="方正小标宋_GBK" w:cs="方正小标宋_GBK"/>
          <w:color w:val="auto"/>
          <w:sz w:val="44"/>
          <w:szCs w:val="44"/>
          <w:lang w:val="en-US" w:eastAsia="zh-CN"/>
        </w:rPr>
        <w:t>质量</w:t>
      </w:r>
      <w:r>
        <w:rPr>
          <w:rFonts w:hint="eastAsia" w:ascii="方正小标宋_GBK" w:hAnsi="方正小标宋_GBK" w:eastAsia="方正小标宋_GBK" w:cs="方正小标宋_GBK"/>
          <w:color w:val="auto"/>
          <w:sz w:val="44"/>
          <w:szCs w:val="44"/>
          <w:lang w:eastAsia="zh-CN"/>
        </w:rPr>
        <w:t>承诺制度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color w:val="E46C0A" w:themeColor="accent6" w:themeShade="BF"/>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lang w:eastAsia="zh-CN"/>
        </w:rPr>
      </w:pPr>
      <w:r>
        <w:rPr>
          <w:rFonts w:hint="eastAsia" w:ascii="方正黑体_GBK" w:hAnsi="方正黑体_GBK" w:eastAsia="方正黑体_GBK" w:cs="方正黑体_GBK"/>
          <w:b w:val="0"/>
          <w:bCs w:val="0"/>
          <w:color w:val="auto"/>
          <w:sz w:val="32"/>
          <w:szCs w:val="32"/>
          <w:lang w:eastAsia="zh-CN"/>
        </w:rPr>
        <w:t>第一章</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黑体_GBK" w:hAnsi="方正黑体_GBK" w:eastAsia="方正黑体_GBK" w:cs="方正黑体_GBK"/>
          <w:b w:val="0"/>
          <w:bCs w:val="0"/>
          <w:color w:val="auto"/>
          <w:sz w:val="32"/>
          <w:szCs w:val="32"/>
          <w:lang w:eastAsia="zh-CN"/>
        </w:rPr>
        <w:t>总则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第一条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为加强对纳入“优机优补”范围</w:t>
      </w:r>
      <w:r>
        <w:rPr>
          <w:rFonts w:hint="eastAsia" w:ascii="仿宋_GB2312" w:hAnsi="仿宋_GB2312" w:eastAsia="仿宋_GB2312" w:cs="仿宋_GB2312"/>
          <w:color w:val="auto"/>
          <w:sz w:val="32"/>
          <w:szCs w:val="32"/>
          <w:lang w:val="en-US" w:eastAsia="zh-CN"/>
        </w:rPr>
        <w:t>“优机”</w:t>
      </w:r>
      <w:r>
        <w:rPr>
          <w:rFonts w:hint="eastAsia" w:ascii="仿宋_GB2312" w:hAnsi="仿宋_GB2312" w:eastAsia="仿宋_GB2312" w:cs="仿宋_GB2312"/>
          <w:color w:val="auto"/>
          <w:sz w:val="32"/>
          <w:szCs w:val="32"/>
          <w:lang w:eastAsia="zh-CN"/>
        </w:rPr>
        <w:t>的监督管理，维护购机主体的合法权益，</w:t>
      </w:r>
      <w:r>
        <w:rPr>
          <w:rFonts w:hint="eastAsia" w:ascii="仿宋_GB2312" w:hAnsi="仿宋_GB2312" w:eastAsia="仿宋_GB2312" w:cs="仿宋_GB2312"/>
          <w:color w:val="auto"/>
          <w:sz w:val="32"/>
          <w:szCs w:val="32"/>
          <w:highlight w:val="none"/>
          <w:lang w:eastAsia="zh-CN"/>
        </w:rPr>
        <w:t>制定</w:t>
      </w: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制度</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第二条</w:t>
      </w:r>
      <w:r>
        <w:rPr>
          <w:rFonts w:hint="eastAsia" w:ascii="仿宋_GB2312" w:hAnsi="仿宋_GB2312" w:eastAsia="仿宋_GB2312" w:cs="仿宋_GB2312"/>
          <w:color w:val="auto"/>
          <w:sz w:val="32"/>
          <w:szCs w:val="32"/>
          <w:lang w:val="en-US" w:eastAsia="zh-CN"/>
        </w:rPr>
        <w:t xml:space="preserve">  本制度</w:t>
      </w:r>
      <w:r>
        <w:rPr>
          <w:rFonts w:hint="eastAsia" w:ascii="仿宋_GB2312" w:hAnsi="仿宋_GB2312" w:eastAsia="仿宋_GB2312" w:cs="仿宋_GB2312"/>
          <w:color w:val="auto"/>
          <w:sz w:val="32"/>
          <w:szCs w:val="32"/>
        </w:rPr>
        <w:t>所称</w:t>
      </w:r>
      <w:r>
        <w:rPr>
          <w:rFonts w:hint="eastAsia" w:ascii="仿宋_GB2312" w:hAnsi="仿宋_GB2312" w:eastAsia="仿宋_GB2312" w:cs="仿宋_GB2312"/>
          <w:color w:val="auto"/>
          <w:sz w:val="32"/>
          <w:szCs w:val="32"/>
          <w:lang w:eastAsia="zh-CN"/>
        </w:rPr>
        <w:t>的承诺</w:t>
      </w:r>
      <w:r>
        <w:rPr>
          <w:rFonts w:hint="eastAsia" w:ascii="仿宋_GB2312" w:hAnsi="仿宋_GB2312" w:eastAsia="仿宋_GB2312" w:cs="仿宋_GB2312"/>
          <w:color w:val="auto"/>
          <w:sz w:val="32"/>
          <w:szCs w:val="32"/>
        </w:rPr>
        <w:t>，是指</w:t>
      </w:r>
      <w:r>
        <w:rPr>
          <w:rFonts w:hint="eastAsia" w:ascii="仿宋_GB2312" w:hAnsi="仿宋_GB2312" w:eastAsia="仿宋_GB2312" w:cs="仿宋_GB2312"/>
          <w:color w:val="auto"/>
          <w:sz w:val="32"/>
          <w:szCs w:val="32"/>
          <w:lang w:eastAsia="zh-CN"/>
        </w:rPr>
        <w:t>生产</w:t>
      </w:r>
      <w:r>
        <w:rPr>
          <w:rFonts w:hint="eastAsia" w:ascii="仿宋_GB2312" w:hAnsi="仿宋_GB2312" w:eastAsia="仿宋_GB2312" w:cs="仿宋_GB2312"/>
          <w:color w:val="auto"/>
          <w:sz w:val="32"/>
          <w:szCs w:val="32"/>
          <w:lang w:val="en-US" w:eastAsia="zh-CN"/>
        </w:rPr>
        <w:t>企业做出的</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自主参选承诺</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rPr>
        <w:t>（以下简称</w:t>
      </w:r>
      <w:r>
        <w:rPr>
          <w:rFonts w:hint="eastAsia" w:ascii="仿宋_GB2312" w:hAnsi="仿宋_GB2312" w:eastAsia="仿宋_GB2312" w:cs="仿宋_GB2312"/>
          <w:color w:val="auto"/>
          <w:sz w:val="32"/>
          <w:szCs w:val="32"/>
          <w:lang w:eastAsia="zh-CN"/>
        </w:rPr>
        <w:t>自主承诺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纳入</w:t>
      </w:r>
      <w:r>
        <w:rPr>
          <w:rFonts w:hint="eastAsia" w:ascii="仿宋_GB2312" w:hAnsi="仿宋_GB2312" w:eastAsia="仿宋_GB2312" w:cs="仿宋_GB2312"/>
          <w:color w:val="auto"/>
          <w:sz w:val="32"/>
          <w:szCs w:val="32"/>
          <w:lang w:val="en-US" w:eastAsia="zh-CN"/>
        </w:rPr>
        <w:t>“优机”</w:t>
      </w:r>
      <w:r>
        <w:rPr>
          <w:rFonts w:hint="eastAsia" w:ascii="仿宋_GB2312" w:hAnsi="仿宋_GB2312" w:eastAsia="仿宋_GB2312" w:cs="仿宋_GB2312"/>
          <w:color w:val="auto"/>
          <w:sz w:val="32"/>
          <w:szCs w:val="32"/>
          <w:lang w:eastAsia="zh-CN"/>
        </w:rPr>
        <w:t>范围</w:t>
      </w:r>
      <w:r>
        <w:rPr>
          <w:rFonts w:hint="eastAsia" w:ascii="仿宋_GB2312" w:hAnsi="仿宋_GB2312" w:eastAsia="仿宋_GB2312" w:cs="仿宋_GB2312"/>
          <w:color w:val="auto"/>
          <w:sz w:val="32"/>
          <w:szCs w:val="32"/>
          <w:lang w:val="en-US" w:eastAsia="zh-CN"/>
        </w:rPr>
        <w:t>，产销企业与购机主体签订“优机”应用质量和可靠性的承诺协议</w:t>
      </w:r>
      <w:r>
        <w:rPr>
          <w:rFonts w:hint="eastAsia" w:ascii="仿宋_GB2312" w:hAnsi="仿宋_GB2312" w:eastAsia="仿宋_GB2312" w:cs="仿宋_GB2312"/>
          <w:color w:val="auto"/>
          <w:sz w:val="32"/>
          <w:szCs w:val="32"/>
        </w:rPr>
        <w:t>（以下简称</w:t>
      </w:r>
      <w:r>
        <w:rPr>
          <w:rFonts w:hint="eastAsia" w:ascii="仿宋_GB2312" w:hAnsi="仿宋_GB2312" w:eastAsia="仿宋_GB2312" w:cs="仿宋_GB2312"/>
          <w:color w:val="auto"/>
          <w:sz w:val="32"/>
          <w:szCs w:val="32"/>
          <w:lang w:eastAsia="zh-CN"/>
        </w:rPr>
        <w:t>承诺协议</w:t>
      </w:r>
      <w:r>
        <w:rPr>
          <w:rFonts w:hint="eastAsia" w:ascii="仿宋_GB2312" w:hAnsi="仿宋_GB2312" w:eastAsia="仿宋_GB2312" w:cs="仿宋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第三条</w:t>
      </w:r>
      <w:r>
        <w:rPr>
          <w:rFonts w:hint="eastAsia" w:ascii="仿宋_GB2312" w:hAnsi="仿宋_GB2312" w:eastAsia="仿宋_GB2312" w:cs="仿宋_GB2312"/>
          <w:color w:val="auto"/>
          <w:sz w:val="32"/>
          <w:szCs w:val="32"/>
          <w:lang w:val="en-US" w:eastAsia="zh-CN"/>
        </w:rPr>
        <w:t xml:space="preserve">  承诺协议需报县级农业农村部门备案并接受监督管理。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第四条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承诺制度</w:t>
      </w:r>
      <w:r>
        <w:rPr>
          <w:rFonts w:hint="eastAsia" w:ascii="仿宋_GB2312" w:hAnsi="仿宋_GB2312" w:eastAsia="仿宋_GB2312" w:cs="仿宋_GB2312"/>
          <w:color w:val="auto"/>
          <w:sz w:val="32"/>
          <w:szCs w:val="32"/>
        </w:rPr>
        <w:t>坚持</w:t>
      </w:r>
      <w:r>
        <w:rPr>
          <w:rFonts w:hint="eastAsia" w:ascii="仿宋_GB2312" w:hAnsi="仿宋_GB2312" w:eastAsia="仿宋_GB2312" w:cs="仿宋_GB2312"/>
          <w:color w:val="auto"/>
          <w:sz w:val="32"/>
          <w:szCs w:val="32"/>
          <w:lang w:eastAsia="zh-CN"/>
        </w:rPr>
        <w:t>公平</w:t>
      </w:r>
      <w:r>
        <w:rPr>
          <w:rFonts w:hint="eastAsia" w:ascii="仿宋_GB2312" w:hAnsi="仿宋_GB2312" w:eastAsia="仿宋_GB2312" w:cs="仿宋_GB2312"/>
          <w:color w:val="auto"/>
          <w:sz w:val="32"/>
          <w:szCs w:val="32"/>
        </w:rPr>
        <w:t>、公正、公开</w:t>
      </w:r>
      <w:r>
        <w:rPr>
          <w:rFonts w:hint="eastAsia" w:ascii="仿宋_GB2312" w:hAnsi="仿宋_GB2312" w:eastAsia="仿宋_GB2312" w:cs="仿宋_GB2312"/>
          <w:color w:val="auto"/>
          <w:sz w:val="32"/>
          <w:szCs w:val="32"/>
          <w:lang w:eastAsia="zh-CN"/>
        </w:rPr>
        <w:t>、自愿</w:t>
      </w:r>
      <w:r>
        <w:rPr>
          <w:rFonts w:hint="eastAsia" w:ascii="仿宋_GB2312" w:hAnsi="仿宋_GB2312" w:eastAsia="仿宋_GB2312" w:cs="仿宋_GB2312"/>
          <w:color w:val="auto"/>
          <w:sz w:val="32"/>
          <w:szCs w:val="32"/>
        </w:rPr>
        <w:t>的原则，接受农业机械使用者和社会的监督。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lang w:eastAsia="zh-CN"/>
        </w:rPr>
      </w:pPr>
      <w:r>
        <w:rPr>
          <w:rFonts w:hint="eastAsia" w:ascii="方正黑体_GBK" w:hAnsi="方正黑体_GBK" w:eastAsia="方正黑体_GBK" w:cs="方正黑体_GBK"/>
          <w:b w:val="0"/>
          <w:bCs w:val="0"/>
          <w:color w:val="auto"/>
          <w:sz w:val="32"/>
          <w:szCs w:val="32"/>
          <w:lang w:eastAsia="zh-CN"/>
        </w:rPr>
        <w:t>第二章</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黑体_GBK" w:hAnsi="方正黑体_GBK" w:eastAsia="方正黑体_GBK" w:cs="方正黑体_GBK"/>
          <w:b w:val="0"/>
          <w:bCs w:val="0"/>
          <w:color w:val="auto"/>
          <w:sz w:val="32"/>
          <w:szCs w:val="32"/>
          <w:lang w:eastAsia="zh-CN"/>
        </w:rPr>
        <w:t>承诺内容</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生产企业</w:t>
      </w:r>
      <w:r>
        <w:rPr>
          <w:rFonts w:hint="eastAsia" w:ascii="仿宋_GB2312" w:hAnsi="仿宋_GB2312" w:eastAsia="仿宋_GB2312" w:cs="仿宋_GB2312"/>
          <w:color w:val="auto"/>
          <w:sz w:val="32"/>
          <w:szCs w:val="32"/>
          <w:lang w:eastAsia="zh-CN"/>
        </w:rPr>
        <w:t>自主承诺应包括:</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所有信息均与产销实际相符、准确无误，无任何虚假、误填或者重大遗漏等影响政策规范实施的问题；</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eastAsia="仿宋_GB2312"/>
          <w:color w:val="auto"/>
          <w:sz w:val="32"/>
          <w:szCs w:val="32"/>
        </w:rPr>
        <w:t>主动加强</w:t>
      </w:r>
      <w:r>
        <w:rPr>
          <w:rFonts w:hint="eastAsia" w:ascii="仿宋_GB2312" w:eastAsia="仿宋_GB2312"/>
          <w:color w:val="auto"/>
          <w:sz w:val="32"/>
          <w:szCs w:val="32"/>
          <w:lang w:eastAsia="zh-CN"/>
        </w:rPr>
        <w:t>评审</w:t>
      </w:r>
      <w:r>
        <w:rPr>
          <w:rFonts w:hint="eastAsia" w:ascii="仿宋_GB2312" w:eastAsia="仿宋_GB2312"/>
          <w:color w:val="auto"/>
          <w:sz w:val="32"/>
          <w:szCs w:val="32"/>
        </w:rPr>
        <w:t>信息审核，对审核、公示期间以及公布后所发现的各类问题，将主动报告</w:t>
      </w:r>
      <w:r>
        <w:rPr>
          <w:rFonts w:hint="eastAsia" w:ascii="仿宋_GB2312" w:eastAsia="仿宋_GB2312"/>
          <w:color w:val="auto"/>
          <w:sz w:val="32"/>
          <w:szCs w:val="32"/>
          <w:lang w:eastAsia="zh-CN"/>
        </w:rPr>
        <w:t>河北省</w:t>
      </w:r>
      <w:r>
        <w:rPr>
          <w:rFonts w:hint="eastAsia" w:ascii="仿宋_GB2312" w:eastAsia="仿宋_GB2312"/>
          <w:color w:val="auto"/>
          <w:sz w:val="32"/>
          <w:szCs w:val="32"/>
        </w:rPr>
        <w:t>农机化主管部门和</w:t>
      </w:r>
      <w:r>
        <w:rPr>
          <w:rFonts w:hint="eastAsia" w:ascii="仿宋_GB2312" w:eastAsia="仿宋_GB2312"/>
          <w:color w:val="auto"/>
          <w:sz w:val="32"/>
          <w:szCs w:val="32"/>
          <w:lang w:eastAsia="zh-CN"/>
        </w:rPr>
        <w:t>评审</w:t>
      </w:r>
      <w:r>
        <w:rPr>
          <w:rFonts w:hint="eastAsia" w:ascii="仿宋_GB2312" w:eastAsia="仿宋_GB2312"/>
          <w:color w:val="auto"/>
          <w:sz w:val="32"/>
          <w:szCs w:val="32"/>
        </w:rPr>
        <w:t>工作组织单位，并积极整改</w:t>
      </w:r>
      <w:r>
        <w:rPr>
          <w:rFonts w:hint="eastAsia" w:ascii="仿宋_GB2312" w:eastAsia="仿宋_GB2312"/>
          <w:color w:val="auto"/>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eastAsia="仿宋_GB2312"/>
          <w:color w:val="auto"/>
          <w:sz w:val="32"/>
          <w:szCs w:val="32"/>
        </w:rPr>
        <w:t>如违反</w:t>
      </w:r>
      <w:r>
        <w:rPr>
          <w:rFonts w:hint="eastAsia" w:ascii="仿宋_GB2312" w:eastAsia="仿宋_GB2312"/>
          <w:color w:val="auto"/>
          <w:sz w:val="32"/>
          <w:szCs w:val="32"/>
          <w:lang w:eastAsia="zh-CN"/>
        </w:rPr>
        <w:t>评审</w:t>
      </w:r>
      <w:r>
        <w:rPr>
          <w:rFonts w:hint="eastAsia" w:ascii="仿宋_GB2312" w:eastAsia="仿宋_GB2312"/>
          <w:color w:val="auto"/>
          <w:sz w:val="32"/>
          <w:szCs w:val="32"/>
        </w:rPr>
        <w:t>相关规定，本企业将完全接受相关部门的处理处罚，并自行承担由此引发的全部经济纠纷和损失</w:t>
      </w:r>
      <w:r>
        <w:rPr>
          <w:rFonts w:hint="eastAsia" w:ascii="仿宋_GB2312" w:eastAsia="仿宋_GB2312"/>
          <w:color w:val="auto"/>
          <w:sz w:val="32"/>
          <w:szCs w:val="32"/>
          <w:lang w:eastAsia="zh-CN"/>
        </w:rPr>
        <w:t>等。</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产销企业</w:t>
      </w:r>
      <w:r>
        <w:rPr>
          <w:rFonts w:hint="eastAsia" w:ascii="仿宋_GB2312" w:hAnsi="仿宋_GB2312" w:eastAsia="仿宋_GB2312" w:cs="仿宋_GB2312"/>
          <w:color w:val="auto"/>
          <w:sz w:val="32"/>
          <w:szCs w:val="32"/>
          <w:lang w:eastAsia="zh-CN"/>
        </w:rPr>
        <w:t>产品承诺协议承诺质量、售后服务等，应包括: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（一）应用质量：在一定年限（比照国际先进产品无故障时间）应具备相应的质量性能。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（二）产品可靠性：能无故障完成一定规模的作业量。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（三）售后服务：提供培训、维修、配件供应等。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lang w:eastAsia="zh-CN"/>
        </w:rPr>
      </w:pPr>
      <w:r>
        <w:rPr>
          <w:rFonts w:hint="eastAsia" w:ascii="方正黑体_GBK" w:hAnsi="方正黑体_GBK" w:eastAsia="方正黑体_GBK" w:cs="方正黑体_GBK"/>
          <w:b w:val="0"/>
          <w:bCs w:val="0"/>
          <w:color w:val="auto"/>
          <w:sz w:val="32"/>
          <w:szCs w:val="32"/>
          <w:lang w:eastAsia="zh-CN"/>
        </w:rPr>
        <w:t>第三章</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黑体_GBK" w:hAnsi="方正黑体_GBK" w:eastAsia="方正黑体_GBK" w:cs="方正黑体_GBK"/>
          <w:b w:val="0"/>
          <w:bCs w:val="0"/>
          <w:color w:val="auto"/>
          <w:sz w:val="32"/>
          <w:szCs w:val="32"/>
          <w:lang w:eastAsia="zh-CN"/>
        </w:rPr>
        <w:t>承诺实施与监督</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生产企业在参加“优机”评选时需做出</w:t>
      </w:r>
      <w:r>
        <w:rPr>
          <w:rFonts w:hint="eastAsia" w:ascii="仿宋_GB2312" w:hAnsi="仿宋_GB2312" w:eastAsia="仿宋_GB2312" w:cs="仿宋_GB2312"/>
          <w:color w:val="auto"/>
          <w:sz w:val="32"/>
          <w:szCs w:val="32"/>
          <w:lang w:eastAsia="zh-CN"/>
        </w:rPr>
        <w:t>自主承诺。</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购机主体购买“优机”时，产销企业应与购机主体签订承诺协议。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县级农业农村部门应建立健全承诺备案制度与监督机制，明确责任部门和责任人，确保承诺制度的落实。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lang w:eastAsia="zh-CN"/>
        </w:rPr>
      </w:pPr>
      <w:r>
        <w:rPr>
          <w:rFonts w:hint="eastAsia" w:ascii="方正黑体_GBK" w:hAnsi="方正黑体_GBK" w:eastAsia="方正黑体_GBK" w:cs="方正黑体_GBK"/>
          <w:b w:val="0"/>
          <w:bCs w:val="0"/>
          <w:color w:val="auto"/>
          <w:sz w:val="32"/>
          <w:szCs w:val="32"/>
          <w:lang w:eastAsia="zh-CN"/>
        </w:rPr>
        <w:t>第四章</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黑体_GBK" w:hAnsi="方正黑体_GBK" w:eastAsia="方正黑体_GBK" w:cs="方正黑体_GBK"/>
          <w:b w:val="0"/>
          <w:bCs w:val="0"/>
          <w:color w:val="auto"/>
          <w:sz w:val="32"/>
          <w:szCs w:val="32"/>
          <w:lang w:eastAsia="zh-CN"/>
        </w:rPr>
        <w:t>监督结果处理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县级农业农村部门发现产销企业“优机”产品性能质量等与承诺不符，报省级农业机械化管理部门，省级农业机械化管理部门组织人员进行核实，并将核实的结果反馈给产销企业。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产销企业对核实结果有异议的，应当在收到通知后15个工作日内书面提出；逾期未提出的，视为无异议。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省农业农村厅应当在收到企业书面异议之日起15个工作日内予以答复。</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sectPr>
          <w:headerReference r:id="rId3" w:type="default"/>
          <w:footerReference r:id="rId5" w:type="default"/>
          <w:headerReference r:id="rId4" w:type="even"/>
          <w:footerReference r:id="rId6" w:type="even"/>
          <w:pgSz w:w="11906" w:h="16838"/>
          <w:pgMar w:top="2098" w:right="1531" w:bottom="1984" w:left="1531" w:header="851" w:footer="1417"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产销企业对核实结果无异议的，或者有异议而未被采纳的，省级农业机械化管理部门应确定产品是否继续纳入“优机”范围。</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3-1</w:t>
      </w:r>
      <w:r>
        <w:rPr>
          <w:rFonts w:hint="eastAsia" w:ascii="黑体" w:hAnsi="黑体" w:eastAsia="黑体" w:cs="黑体"/>
          <w:color w:val="auto"/>
          <w:sz w:val="32"/>
          <w:szCs w:val="32"/>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color w:val="E46C0A" w:themeColor="accent6" w:themeShade="BF"/>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CESI小标宋-GB13000" w:hAnsi="CESI小标宋-GB13000" w:eastAsia="CESI小标宋-GB13000" w:cs="CESI小标宋-GB13000"/>
          <w:color w:val="auto"/>
          <w:sz w:val="44"/>
          <w:szCs w:val="44"/>
        </w:rPr>
      </w:pPr>
      <w:r>
        <w:rPr>
          <w:rFonts w:hint="eastAsia" w:ascii="CESI小标宋-GB13000" w:hAnsi="CESI小标宋-GB13000" w:eastAsia="CESI小标宋-GB13000" w:cs="CESI小标宋-GB13000"/>
          <w:color w:val="auto"/>
          <w:sz w:val="44"/>
          <w:szCs w:val="44"/>
        </w:rPr>
        <w:t>农机购置与应用补贴“优机”产品承诺书</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szCs w:val="32"/>
        </w:rPr>
        <w:t>本企业</w:t>
      </w:r>
      <w:r>
        <w:rPr>
          <w:rFonts w:hint="eastAsia" w:ascii="仿宋_GB2312" w:hAnsi="仿宋_GB2312" w:eastAsia="仿宋_GB2312" w:cs="仿宋_GB2312"/>
          <w:color w:val="auto"/>
          <w:sz w:val="32"/>
        </w:rPr>
        <w:t>自愿参与</w:t>
      </w:r>
      <w:r>
        <w:rPr>
          <w:rFonts w:hint="eastAsia" w:ascii="仿宋_GB2312" w:hAnsi="仿宋_GB2312" w:eastAsia="仿宋_GB2312" w:cs="仿宋_GB2312"/>
          <w:color w:val="auto"/>
          <w:sz w:val="32"/>
          <w:u w:val="single"/>
        </w:rPr>
        <w:t xml:space="preserve">              </w:t>
      </w:r>
      <w:r>
        <w:rPr>
          <w:rFonts w:hint="eastAsia" w:ascii="仿宋_GB2312" w:hAnsi="仿宋_GB2312" w:eastAsia="仿宋_GB2312" w:cs="仿宋_GB2312"/>
          <w:color w:val="auto"/>
          <w:sz w:val="32"/>
        </w:rPr>
        <w:t>（省/区）农机购置与应用补贴“优机优补”政策实施，自觉遵守“优机优补”政策规定， 郑重做出如下承诺：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一、承诺销售</w:t>
      </w:r>
      <w:r>
        <w:rPr>
          <w:rFonts w:ascii="仿宋_GB2312" w:hAnsi="仿宋_GB2312" w:eastAsia="仿宋_GB2312" w:cs="仿宋_GB2312"/>
          <w:color w:val="auto"/>
          <w:sz w:val="32"/>
        </w:rPr>
        <w:t>的</w:t>
      </w:r>
      <w:r>
        <w:rPr>
          <w:rFonts w:hint="eastAsia" w:ascii="仿宋_GB2312" w:hAnsi="仿宋_GB2312" w:eastAsia="仿宋_GB2312" w:cs="仿宋_GB2312"/>
          <w:color w:val="auto"/>
          <w:sz w:val="32"/>
        </w:rPr>
        <w:t>“优机”补贴产品配置</w:t>
      </w:r>
      <w:r>
        <w:rPr>
          <w:rFonts w:ascii="仿宋_GB2312" w:hAnsi="仿宋_GB2312" w:eastAsia="仿宋_GB2312" w:cs="仿宋_GB2312"/>
          <w:color w:val="auto"/>
          <w:sz w:val="32"/>
        </w:rPr>
        <w:t>与</w:t>
      </w:r>
      <w:r>
        <w:rPr>
          <w:rFonts w:hint="eastAsia" w:ascii="仿宋_GB2312" w:hAnsi="仿宋_GB2312" w:eastAsia="仿宋_GB2312" w:cs="仿宋_GB2312"/>
          <w:color w:val="auto"/>
          <w:sz w:val="32"/>
        </w:rPr>
        <w:t>鉴定（认证</w:t>
      </w:r>
      <w:r>
        <w:rPr>
          <w:rFonts w:ascii="仿宋_GB2312" w:hAnsi="仿宋_GB2312" w:eastAsia="仿宋_GB2312" w:cs="仿宋_GB2312"/>
          <w:color w:val="auto"/>
          <w:sz w:val="32"/>
        </w:rPr>
        <w:t>、检验</w:t>
      </w:r>
      <w:r>
        <w:rPr>
          <w:rFonts w:hint="eastAsia" w:ascii="仿宋_GB2312" w:hAnsi="仿宋_GB2312" w:eastAsia="仿宋_GB2312" w:cs="仿宋_GB2312"/>
          <w:color w:val="auto"/>
          <w:sz w:val="32"/>
        </w:rPr>
        <w:t>、检测）</w:t>
      </w:r>
      <w:r>
        <w:rPr>
          <w:rFonts w:ascii="仿宋_GB2312" w:hAnsi="仿宋_GB2312" w:eastAsia="仿宋_GB2312" w:cs="仿宋_GB2312"/>
          <w:color w:val="auto"/>
          <w:sz w:val="32"/>
        </w:rPr>
        <w:t>报告</w:t>
      </w:r>
      <w:r>
        <w:rPr>
          <w:rFonts w:hint="eastAsia" w:ascii="仿宋_GB2312" w:hAnsi="仿宋_GB2312" w:eastAsia="仿宋_GB2312" w:cs="仿宋_GB2312"/>
          <w:color w:val="auto"/>
          <w:sz w:val="32"/>
        </w:rPr>
        <w:t>信息一致，并符合“优机”相关档次要求</w:t>
      </w:r>
      <w:r>
        <w:rPr>
          <w:rFonts w:ascii="仿宋_GB2312" w:hAnsi="仿宋_GB2312" w:eastAsia="仿宋_GB2312" w:cs="仿宋_GB2312"/>
          <w:color w:val="auto"/>
          <w:sz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二、承诺</w:t>
      </w:r>
      <w:r>
        <w:rPr>
          <w:rFonts w:ascii="仿宋_GB2312" w:hAnsi="仿宋_GB2312" w:eastAsia="仿宋_GB2312" w:cs="仿宋_GB2312"/>
          <w:color w:val="auto"/>
          <w:sz w:val="32"/>
        </w:rPr>
        <w:t>生产</w:t>
      </w:r>
      <w:r>
        <w:rPr>
          <w:rFonts w:hint="eastAsia" w:ascii="仿宋_GB2312" w:hAnsi="仿宋_GB2312" w:eastAsia="仿宋_GB2312" w:cs="仿宋_GB2312"/>
          <w:color w:val="auto"/>
          <w:sz w:val="32"/>
        </w:rPr>
        <w:t>销售</w:t>
      </w:r>
      <w:r>
        <w:rPr>
          <w:rFonts w:ascii="仿宋_GB2312" w:hAnsi="仿宋_GB2312" w:eastAsia="仿宋_GB2312" w:cs="仿宋_GB2312"/>
          <w:color w:val="auto"/>
          <w:sz w:val="32"/>
        </w:rPr>
        <w:t>的</w:t>
      </w:r>
      <w:r>
        <w:rPr>
          <w:rFonts w:hint="eastAsia" w:ascii="仿宋_GB2312" w:hAnsi="仿宋_GB2312" w:eastAsia="仿宋_GB2312" w:cs="仿宋_GB2312"/>
          <w:color w:val="auto"/>
          <w:sz w:val="32"/>
        </w:rPr>
        <w:t>“</w:t>
      </w:r>
      <w:r>
        <w:rPr>
          <w:rFonts w:ascii="仿宋_GB2312" w:hAnsi="仿宋_GB2312" w:eastAsia="仿宋_GB2312" w:cs="仿宋_GB2312"/>
          <w:color w:val="auto"/>
          <w:sz w:val="32"/>
        </w:rPr>
        <w:t>优机</w:t>
      </w:r>
      <w:r>
        <w:rPr>
          <w:rFonts w:hint="eastAsia" w:ascii="仿宋_GB2312" w:hAnsi="仿宋_GB2312" w:eastAsia="仿宋_GB2312" w:cs="仿宋_GB2312"/>
          <w:color w:val="auto"/>
          <w:sz w:val="32"/>
        </w:rPr>
        <w:t>”符合国家、行业等</w:t>
      </w:r>
      <w:r>
        <w:rPr>
          <w:rFonts w:ascii="仿宋_GB2312" w:hAnsi="仿宋_GB2312" w:eastAsia="仿宋_GB2312" w:cs="仿宋_GB2312"/>
          <w:color w:val="auto"/>
          <w:sz w:val="32"/>
        </w:rPr>
        <w:t>相关</w:t>
      </w:r>
      <w:r>
        <w:rPr>
          <w:rFonts w:hint="eastAsia" w:ascii="仿宋_GB2312" w:hAnsi="仿宋_GB2312" w:eastAsia="仿宋_GB2312" w:cs="仿宋_GB2312"/>
          <w:color w:val="auto"/>
          <w:sz w:val="32"/>
        </w:rPr>
        <w:t>标准要求</w:t>
      </w:r>
      <w:r>
        <w:rPr>
          <w:rFonts w:ascii="仿宋_GB2312" w:hAnsi="仿宋_GB2312" w:eastAsia="仿宋_GB2312" w:cs="仿宋_GB2312"/>
          <w:color w:val="auto"/>
          <w:sz w:val="32"/>
        </w:rPr>
        <w:t>，</w:t>
      </w:r>
      <w:r>
        <w:rPr>
          <w:rFonts w:hint="eastAsia" w:ascii="仿宋_GB2312" w:hAnsi="仿宋_GB2312" w:eastAsia="仿宋_GB2312" w:cs="仿宋_GB2312"/>
          <w:color w:val="auto"/>
          <w:sz w:val="32"/>
        </w:rPr>
        <w:t>产品质量可靠、性能优越。在一定年限或作业量内能够保持机具性能、作业质量不降低。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三、</w:t>
      </w:r>
      <w:r>
        <w:rPr>
          <w:rFonts w:ascii="仿宋_GB2312" w:hAnsi="仿宋_GB2312" w:eastAsia="仿宋_GB2312" w:cs="仿宋_GB2312"/>
          <w:color w:val="auto"/>
          <w:sz w:val="32"/>
        </w:rPr>
        <w:t>承诺</w:t>
      </w:r>
      <w:r>
        <w:rPr>
          <w:rFonts w:hint="eastAsia" w:ascii="仿宋_GB2312" w:hAnsi="仿宋_GB2312" w:eastAsia="仿宋_GB2312" w:cs="仿宋_GB2312"/>
          <w:color w:val="auto"/>
          <w:sz w:val="32"/>
        </w:rPr>
        <w:t>销售“优机”产品开具的发票符合《中华人民共和国发票管理办法》规定，开票价格与实际交易金额完全一致。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四、承诺提供优质高效的售后服务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（一）建立健全完善的售后服务体系和网络，在所销售区域（特别是补贴实施区域）配备足够数量的专业维修服务人员、配件供应渠道和维修服务网点。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（二）提供符合国家“三包”规定及行业标准的售后服务，保证及时响应购机者诉求，提供技术培训、维修保养、配件供应等全方位服务。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w:t>
      </w:r>
      <w:r>
        <w:rPr>
          <w:rFonts w:hint="eastAsia" w:ascii="仿宋_GB2312" w:hAnsi="仿宋_GB2312" w:eastAsia="仿宋_GB2312" w:cs="仿宋_GB2312"/>
          <w:color w:val="auto"/>
          <w:sz w:val="32"/>
          <w:lang w:val="en-US" w:eastAsia="zh-CN"/>
        </w:rPr>
        <w:t>三</w:t>
      </w:r>
      <w:r>
        <w:rPr>
          <w:rFonts w:hint="eastAsia" w:ascii="仿宋_GB2312" w:hAnsi="仿宋_GB2312" w:eastAsia="仿宋_GB2312" w:cs="仿宋_GB2312"/>
          <w:color w:val="auto"/>
          <w:sz w:val="32"/>
        </w:rPr>
        <w:t>）对所销售补贴机具建立完善的用户档案，进行质量跟踪。</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lang w:eastAsia="zh-CN"/>
        </w:rPr>
        <w:t>（四）</w:t>
      </w:r>
      <w:r>
        <w:rPr>
          <w:rFonts w:hint="eastAsia" w:ascii="仿宋_GB2312" w:hAnsi="仿宋_GB2312" w:eastAsia="仿宋_GB2312" w:cs="仿宋_GB2312"/>
          <w:color w:val="auto"/>
          <w:sz w:val="32"/>
        </w:rPr>
        <w:t>承诺销售的“优机”补贴产品加强售后服务，在法定三包期的基础上延长至少1年</w:t>
      </w:r>
      <w:r>
        <w:rPr>
          <w:rFonts w:hint="eastAsia" w:ascii="仿宋_GB2312" w:hAnsi="仿宋_GB2312" w:eastAsia="仿宋_GB2312" w:cs="仿宋_GB2312"/>
          <w:color w:val="auto"/>
          <w:sz w:val="32"/>
          <w:lang w:eastAsia="zh-CN"/>
        </w:rPr>
        <w:t>，</w:t>
      </w:r>
      <w:r>
        <w:rPr>
          <w:rFonts w:hint="eastAsia" w:ascii="仿宋_GB2312" w:hAnsi="仿宋_GB2312" w:eastAsia="仿宋_GB2312" w:cs="仿宋_GB2312"/>
          <w:color w:val="auto"/>
          <w:sz w:val="32"/>
        </w:rPr>
        <w:t>应用线上用户售后服务平台或开展视频维修保养指导，远程软件升级等服务。设立并向社会公布24小时服务热线，承诺在合理时限内解决用户反映的问题。产品发生严重故障48小时内未排除故障则调用性能一致的备用机具替代故障机具作业</w:t>
      </w:r>
      <w:r>
        <w:rPr>
          <w:rFonts w:hint="eastAsia" w:ascii="仿宋_GB2312" w:hAnsi="仿宋_GB2312" w:eastAsia="仿宋_GB2312" w:cs="仿宋_GB2312"/>
          <w:color w:val="auto"/>
          <w:sz w:val="32"/>
          <w:lang w:eastAsia="zh-CN"/>
        </w:rPr>
        <w:t>。</w:t>
      </w:r>
      <w:r>
        <w:rPr>
          <w:rFonts w:ascii="仿宋_GB2312" w:hAnsi="仿宋_GB2312" w:eastAsia="仿宋_GB2312" w:cs="仿宋_GB2312"/>
          <w:color w:val="auto"/>
          <w:sz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rPr>
      </w:pPr>
      <w:r>
        <w:rPr>
          <w:rFonts w:ascii="仿宋_GB2312" w:hAnsi="仿宋_GB2312" w:eastAsia="仿宋_GB2312" w:cs="仿宋_GB2312"/>
          <w:color w:val="auto"/>
          <w:sz w:val="32"/>
        </w:rPr>
        <w:t>五</w:t>
      </w:r>
      <w:r>
        <w:rPr>
          <w:rFonts w:hint="eastAsia" w:ascii="仿宋_GB2312" w:hAnsi="仿宋_GB2312" w:eastAsia="仿宋_GB2312" w:cs="仿宋_GB2312"/>
          <w:color w:val="auto"/>
          <w:sz w:val="32"/>
        </w:rPr>
        <w:t>、承诺因产品质量缺陷造成损失的，按照《产品质量法》关于农业机械产品修理、更换、退货责任相关规定处理。退货产品的补贴资金</w:t>
      </w:r>
      <w:r>
        <w:rPr>
          <w:rFonts w:ascii="仿宋_GB2312" w:hAnsi="仿宋_GB2312" w:eastAsia="仿宋_GB2312" w:cs="仿宋_GB2312"/>
          <w:color w:val="auto"/>
          <w:sz w:val="32"/>
        </w:rPr>
        <w:t>由生产企业负责退回财政部门。</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r>
        <w:rPr>
          <w:rFonts w:ascii="仿宋_GB2312" w:hAnsi="仿宋_GB2312" w:eastAsia="仿宋_GB2312" w:cs="仿宋_GB2312"/>
          <w:color w:val="auto"/>
          <w:sz w:val="32"/>
        </w:rPr>
        <w:t>六</w:t>
      </w:r>
      <w:r>
        <w:rPr>
          <w:rFonts w:hint="eastAsia" w:ascii="仿宋_GB2312" w:hAnsi="仿宋_GB2312" w:eastAsia="仿宋_GB2312" w:cs="仿宋_GB2312"/>
          <w:color w:val="auto"/>
          <w:sz w:val="32"/>
        </w:rPr>
        <w:t>、承诺在销售“优机”产品的同时，产销企业与购机者签订《“优机”补贴产品质量与可靠性承诺协议》，并配合调查、监管。</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如违背以上承诺，自愿接受农机购置与应用补贴“优机优补”相关制度规定的退出“优机”目录、列入“优机”黑名单等处理结果。</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注：本承诺书由农机生产企业盖章确认后上传农机购置补贴申请办理服务系统，承诺书一经上传视同授权的经销企业同意承诺条款。</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农机生产企业法定代表人（签字）</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农机生产企业（盖章）</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联系电话：</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p>
    <w:p>
      <w:pPr>
        <w:keepNext w:val="0"/>
        <w:keepLines w:val="0"/>
        <w:pageBreakBefore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color w:val="auto"/>
          <w:sz w:val="32"/>
        </w:rPr>
      </w:pP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hAnsi="仿宋_GB2312" w:eastAsia="仿宋_GB2312" w:cs="仿宋_GB2312"/>
          <w:color w:val="auto"/>
          <w:sz w:val="32"/>
        </w:rPr>
      </w:pPr>
      <w:r>
        <w:rPr>
          <w:rFonts w:hint="eastAsia" w:ascii="仿宋_GB2312" w:hAnsi="仿宋_GB2312" w:eastAsia="仿宋_GB2312" w:cs="仿宋_GB2312"/>
          <w:color w:val="auto"/>
          <w:sz w:val="32"/>
        </w:rPr>
        <w:t xml:space="preserve">                             年   月   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rPr>
      </w:pPr>
    </w:p>
    <w:p>
      <w:pPr>
        <w:spacing w:line="560" w:lineRule="exact"/>
        <w:rPr>
          <w:rFonts w:hint="eastAsia" w:ascii="黑体" w:hAnsi="黑体" w:eastAsia="黑体" w:cs="黑体"/>
          <w:color w:val="auto"/>
          <w:sz w:val="32"/>
          <w:szCs w:val="32"/>
        </w:rPr>
      </w:pPr>
    </w:p>
    <w:p>
      <w:pPr>
        <w:spacing w:line="560" w:lineRule="exact"/>
        <w:rPr>
          <w:rFonts w:hint="eastAsia" w:ascii="黑体" w:hAnsi="黑体" w:eastAsia="黑体" w:cs="黑体"/>
          <w:color w:val="auto"/>
          <w:sz w:val="32"/>
          <w:szCs w:val="32"/>
        </w:rPr>
      </w:pPr>
    </w:p>
    <w:p>
      <w:pPr>
        <w:spacing w:line="560" w:lineRule="exact"/>
        <w:rPr>
          <w:rFonts w:hint="eastAsia" w:ascii="黑体" w:hAnsi="黑体" w:eastAsia="黑体" w:cs="黑体"/>
          <w:color w:val="auto"/>
          <w:sz w:val="32"/>
          <w:szCs w:val="32"/>
        </w:rPr>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560" w:lineRule="exact"/>
        <w:rPr>
          <w:rFonts w:hint="eastAsia" w:ascii="黑体" w:hAnsi="黑体" w:eastAsia="黑体" w:cs="黑体"/>
          <w:color w:val="auto"/>
          <w:sz w:val="32"/>
          <w:szCs w:val="32"/>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3-</w:t>
      </w:r>
      <w:r>
        <w:rPr>
          <w:rFonts w:hint="eastAsia" w:ascii="黑体" w:hAnsi="黑体" w:eastAsia="黑体" w:cs="黑体"/>
          <w:color w:val="auto"/>
          <w:sz w:val="32"/>
          <w:szCs w:val="32"/>
        </w:rPr>
        <w:t>2：</w:t>
      </w:r>
    </w:p>
    <w:p>
      <w:pPr>
        <w:spacing w:line="560" w:lineRule="exact"/>
        <w:rPr>
          <w:rFonts w:hint="eastAsia" w:ascii="黑体" w:hAnsi="黑体" w:eastAsia="黑体" w:cs="黑体"/>
          <w:color w:val="auto"/>
          <w:sz w:val="32"/>
          <w:szCs w:val="32"/>
        </w:rPr>
      </w:pPr>
    </w:p>
    <w:p>
      <w:pPr>
        <w:spacing w:line="520" w:lineRule="exact"/>
        <w:jc w:val="center"/>
        <w:rPr>
          <w:rFonts w:hint="eastAsia" w:ascii="CESI小标宋-GB13000" w:hAnsi="CESI小标宋-GB13000" w:eastAsia="CESI小标宋-GB13000" w:cs="CESI小标宋-GB13000"/>
          <w:color w:val="auto"/>
          <w:sz w:val="44"/>
          <w:szCs w:val="44"/>
        </w:rPr>
      </w:pPr>
      <w:r>
        <w:rPr>
          <w:rFonts w:hint="eastAsia" w:ascii="CESI小标宋-GB13000" w:hAnsi="CESI小标宋-GB13000" w:eastAsia="CESI小标宋-GB13000" w:cs="CESI小标宋-GB13000"/>
          <w:color w:val="auto"/>
          <w:sz w:val="44"/>
          <w:szCs w:val="44"/>
        </w:rPr>
        <w:t>“优机”质量与可靠性承诺协议</w:t>
      </w:r>
    </w:p>
    <w:p>
      <w:pPr>
        <w:spacing w:line="520" w:lineRule="exact"/>
        <w:jc w:val="left"/>
        <w:rPr>
          <w:rFonts w:hint="eastAsia" w:ascii="仿宋_GB2312" w:hAnsi="仿宋_GB2312" w:eastAsia="仿宋_GB2312" w:cs="仿宋_GB2312"/>
          <w:color w:val="auto"/>
          <w:sz w:val="32"/>
        </w:rPr>
      </w:pPr>
    </w:p>
    <w:p>
      <w:pPr>
        <w:spacing w:line="640" w:lineRule="exact"/>
        <w:jc w:val="left"/>
        <w:rPr>
          <w:rFonts w:hint="eastAsia" w:ascii="仿宋_GB2312" w:hAnsi="仿宋_GB2312" w:eastAsia="仿宋_GB2312" w:cs="仿宋_GB2312"/>
          <w:color w:val="auto"/>
          <w:sz w:val="32"/>
          <w:u w:val="single"/>
        </w:rPr>
      </w:pPr>
      <w:r>
        <w:rPr>
          <w:rFonts w:hint="eastAsia" w:ascii="仿宋_GB2312" w:hAnsi="仿宋_GB2312" w:eastAsia="仿宋_GB2312" w:cs="仿宋_GB2312"/>
          <w:color w:val="auto"/>
          <w:sz w:val="32"/>
        </w:rPr>
        <w:t>甲方（企业名称）：</w:t>
      </w:r>
      <w:r>
        <w:rPr>
          <w:rFonts w:hint="eastAsia" w:ascii="仿宋_GB2312" w:hAnsi="仿宋_GB2312" w:eastAsia="仿宋_GB2312" w:cs="仿宋_GB2312"/>
          <w:color w:val="auto"/>
          <w:sz w:val="32"/>
          <w:u w:val="single"/>
        </w:rPr>
        <w:t xml:space="preserve">                    </w:t>
      </w:r>
    </w:p>
    <w:p>
      <w:pPr>
        <w:spacing w:line="640" w:lineRule="exact"/>
        <w:jc w:val="left"/>
        <w:rPr>
          <w:rFonts w:ascii="仿宋_GB2312" w:hAnsi="仿宋_GB2312" w:eastAsia="仿宋_GB2312" w:cs="仿宋_GB2312"/>
          <w:color w:val="auto"/>
          <w:sz w:val="32"/>
          <w:u w:val="single"/>
        </w:rPr>
      </w:pPr>
      <w:r>
        <w:rPr>
          <w:rFonts w:hint="eastAsia" w:ascii="仿宋_GB2312" w:hAnsi="仿宋_GB2312" w:eastAsia="仿宋_GB2312" w:cs="仿宋_GB2312"/>
          <w:color w:val="auto"/>
          <w:sz w:val="32"/>
        </w:rPr>
        <w:t>乙方（客户）：</w:t>
      </w:r>
      <w:r>
        <w:rPr>
          <w:rFonts w:hint="eastAsia" w:ascii="仿宋_GB2312" w:hAnsi="仿宋_GB2312" w:eastAsia="仿宋_GB2312" w:cs="仿宋_GB2312"/>
          <w:color w:val="auto"/>
          <w:sz w:val="32"/>
          <w:u w:val="single"/>
        </w:rPr>
        <w:t xml:space="preserve">                        </w:t>
      </w:r>
    </w:p>
    <w:p>
      <w:pPr>
        <w:spacing w:line="560" w:lineRule="exact"/>
        <w:ind w:firstLine="641"/>
        <w:jc w:val="left"/>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为保障农机购置与应用补贴“优机优补”范围的农业机械作业应用质量，提升农机设备全生命周期可靠性，基于“优机优补”政策及相关标准，达成如下协议：</w:t>
      </w:r>
    </w:p>
    <w:p>
      <w:pPr>
        <w:spacing w:line="520" w:lineRule="exact"/>
        <w:ind w:firstLine="642"/>
        <w:jc w:val="left"/>
        <w:rPr>
          <w:rFonts w:hint="eastAsia" w:ascii="黑体" w:hAnsi="黑体" w:eastAsia="黑体" w:cs="黑体"/>
          <w:color w:val="auto"/>
          <w:sz w:val="32"/>
        </w:rPr>
      </w:pPr>
      <w:r>
        <w:rPr>
          <w:rFonts w:hint="eastAsia" w:ascii="黑体" w:hAnsi="黑体" w:eastAsia="黑体" w:cs="黑体"/>
          <w:color w:val="auto"/>
          <w:sz w:val="32"/>
        </w:rPr>
        <w:t>一、质量承诺</w:t>
      </w:r>
    </w:p>
    <w:p>
      <w:pPr>
        <w:spacing w:line="520" w:lineRule="exact"/>
        <w:ind w:firstLine="640" w:firstLineChars="200"/>
        <w:jc w:val="left"/>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1.甲方承诺产品严格按照《产品质量法》生产，符合国家（行业）标准或作业规范要求的指标，</w:t>
      </w:r>
      <w:r>
        <w:rPr>
          <w:rFonts w:ascii="仿宋_GB2312" w:hAnsi="仿宋_GB2312" w:eastAsia="仿宋_GB2312" w:cs="仿宋_GB2312"/>
          <w:color w:val="auto"/>
          <w:sz w:val="32"/>
        </w:rPr>
        <w:t>符合</w:t>
      </w:r>
      <w:r>
        <w:rPr>
          <w:rFonts w:hint="eastAsia" w:ascii="仿宋_GB2312" w:hAnsi="仿宋_GB2312" w:eastAsia="仿宋_GB2312" w:cs="仿宋_GB2312"/>
          <w:color w:val="auto"/>
          <w:sz w:val="32"/>
          <w:u w:val="single"/>
        </w:rPr>
        <w:t xml:space="preserve">                </w:t>
      </w:r>
      <w:r>
        <w:rPr>
          <w:rFonts w:hint="eastAsia" w:ascii="仿宋_GB2312" w:hAnsi="仿宋_GB2312" w:eastAsia="仿宋_GB2312" w:cs="仿宋_GB2312"/>
          <w:color w:val="auto"/>
          <w:sz w:val="32"/>
        </w:rPr>
        <w:t>（省/自治区）农机购置与应用补贴“优机优补”</w:t>
      </w:r>
      <w:r>
        <w:rPr>
          <w:rFonts w:ascii="仿宋_GB2312" w:hAnsi="仿宋_GB2312" w:eastAsia="仿宋_GB2312" w:cs="仿宋_GB2312"/>
          <w:color w:val="auto"/>
          <w:sz w:val="32"/>
        </w:rPr>
        <w:t>系列标准</w:t>
      </w:r>
      <w:r>
        <w:rPr>
          <w:rFonts w:hint="eastAsia" w:ascii="仿宋_GB2312" w:hAnsi="仿宋_GB2312" w:eastAsia="仿宋_GB2312" w:cs="仿宋_GB2312"/>
          <w:color w:val="auto"/>
          <w:sz w:val="32"/>
        </w:rPr>
        <w:t>，满足特定作业场景需求。</w:t>
      </w:r>
    </w:p>
    <w:p>
      <w:pPr>
        <w:spacing w:line="520" w:lineRule="exact"/>
        <w:ind w:firstLine="640" w:firstLineChars="200"/>
        <w:jc w:val="left"/>
        <w:rPr>
          <w:rFonts w:ascii="仿宋_GB2312" w:hAnsi="仿宋_GB2312" w:eastAsia="仿宋_GB2312" w:cs="仿宋_GB2312"/>
          <w:color w:val="auto"/>
          <w:sz w:val="32"/>
        </w:rPr>
      </w:pPr>
      <w:r>
        <w:rPr>
          <w:rFonts w:hint="eastAsia" w:ascii="仿宋_GB2312" w:hAnsi="仿宋_GB2312" w:eastAsia="仿宋_GB2312" w:cs="仿宋_GB2312"/>
          <w:color w:val="auto"/>
          <w:sz w:val="32"/>
        </w:rPr>
        <w:t>2.作业性能不低于相关产品国家（行业）标准或作业规范要求的指标，通过连续作业</w:t>
      </w:r>
      <w:r>
        <w:rPr>
          <w:rFonts w:hint="eastAsia" w:ascii="仿宋_GB2312" w:hAnsi="仿宋_GB2312" w:eastAsia="仿宋_GB2312" w:cs="仿宋_GB2312"/>
          <w:color w:val="auto"/>
          <w:sz w:val="32"/>
          <w:u w:val="single"/>
        </w:rPr>
        <w:t xml:space="preserve">     </w:t>
      </w:r>
      <w:r>
        <w:rPr>
          <w:rFonts w:hint="eastAsia" w:ascii="仿宋_GB2312" w:hAnsi="仿宋_GB2312" w:eastAsia="仿宋_GB2312" w:cs="仿宋_GB2312"/>
          <w:color w:val="auto"/>
          <w:sz w:val="32"/>
        </w:rPr>
        <w:t xml:space="preserve">小时田间耐久性测试。  </w:t>
      </w:r>
      <w:r>
        <w:rPr>
          <w:rFonts w:ascii="仿宋_GB2312" w:hAnsi="仿宋_GB2312" w:eastAsia="仿宋_GB2312" w:cs="仿宋_GB2312"/>
          <w:color w:val="auto"/>
          <w:sz w:val="32"/>
        </w:rPr>
        <w:br w:type="textWrapping"/>
      </w:r>
      <w:r>
        <w:rPr>
          <w:rFonts w:hint="eastAsia" w:ascii="黑体" w:hAnsi="黑体" w:eastAsia="黑体" w:cs="黑体"/>
          <w:color w:val="auto"/>
          <w:sz w:val="32"/>
        </w:rPr>
        <w:t xml:space="preserve">    二、可靠性保障承诺</w:t>
      </w:r>
      <w:r>
        <w:rPr>
          <w:rFonts w:hint="eastAsia" w:ascii="黑体" w:hAnsi="黑体" w:eastAsia="黑体" w:cs="黑体"/>
          <w:color w:val="auto"/>
          <w:sz w:val="32"/>
        </w:rPr>
        <w:br w:type="textWrapping"/>
      </w:r>
      <w:r>
        <w:rPr>
          <w:rFonts w:hint="eastAsia" w:ascii="仿宋_GB2312" w:hAnsi="仿宋_GB2312" w:eastAsia="仿宋_GB2312" w:cs="仿宋_GB2312"/>
          <w:color w:val="auto"/>
          <w:sz w:val="32"/>
        </w:rPr>
        <w:t xml:space="preserve">    1.</w:t>
      </w:r>
      <w:r>
        <w:rPr>
          <w:rFonts w:ascii="仿宋_GB2312" w:hAnsi="仿宋_GB2312" w:eastAsia="仿宋_GB2312" w:cs="仿宋_GB2312"/>
          <w:color w:val="auto"/>
          <w:sz w:val="32"/>
        </w:rPr>
        <w:t xml:space="preserve">关键部件质保 </w:t>
      </w:r>
    </w:p>
    <w:tbl>
      <w:tblPr>
        <w:tblStyle w:val="18"/>
        <w:tblW w:w="8363" w:type="dxa"/>
        <w:tblInd w:w="5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2"/>
        <w:gridCol w:w="3020"/>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02" w:type="dxa"/>
            <w:vAlign w:val="top"/>
          </w:tcPr>
          <w:p>
            <w:pPr>
              <w:spacing w:line="520" w:lineRule="exact"/>
              <w:jc w:val="center"/>
              <w:rPr>
                <w:rFonts w:hint="eastAsia" w:ascii="黑体" w:hAnsi="黑体" w:eastAsia="黑体" w:cs="黑体"/>
                <w:color w:val="auto"/>
                <w:sz w:val="32"/>
              </w:rPr>
            </w:pPr>
            <w:r>
              <w:rPr>
                <w:rFonts w:hint="eastAsia" w:ascii="黑体" w:hAnsi="黑体" w:eastAsia="黑体" w:cs="黑体"/>
                <w:color w:val="auto"/>
                <w:sz w:val="32"/>
              </w:rPr>
              <w:t>部件名称</w:t>
            </w:r>
          </w:p>
        </w:tc>
        <w:tc>
          <w:tcPr>
            <w:tcW w:w="3020" w:type="dxa"/>
            <w:vAlign w:val="top"/>
          </w:tcPr>
          <w:p>
            <w:pPr>
              <w:spacing w:line="520" w:lineRule="exact"/>
              <w:jc w:val="center"/>
              <w:rPr>
                <w:rFonts w:hint="eastAsia" w:ascii="黑体" w:hAnsi="黑体" w:eastAsia="黑体" w:cs="黑体"/>
                <w:color w:val="auto"/>
                <w:sz w:val="32"/>
              </w:rPr>
            </w:pPr>
            <w:r>
              <w:rPr>
                <w:rFonts w:hint="eastAsia" w:ascii="黑体" w:hAnsi="黑体" w:eastAsia="黑体" w:cs="黑体"/>
                <w:color w:val="auto"/>
                <w:sz w:val="32"/>
              </w:rPr>
              <w:t>质保期限</w:t>
            </w:r>
          </w:p>
        </w:tc>
        <w:tc>
          <w:tcPr>
            <w:tcW w:w="2841" w:type="dxa"/>
            <w:vAlign w:val="top"/>
          </w:tcPr>
          <w:p>
            <w:pPr>
              <w:spacing w:line="520" w:lineRule="exact"/>
              <w:jc w:val="center"/>
              <w:rPr>
                <w:rFonts w:hint="eastAsia" w:ascii="黑体" w:hAnsi="黑体" w:eastAsia="黑体" w:cs="黑体"/>
                <w:color w:val="auto"/>
                <w:sz w:val="32"/>
              </w:rPr>
            </w:pPr>
            <w:r>
              <w:rPr>
                <w:rFonts w:hint="eastAsia" w:ascii="黑体" w:hAnsi="黑体" w:eastAsia="黑体" w:cs="黑体"/>
                <w:color w:val="auto"/>
                <w:sz w:val="32"/>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502" w:type="dxa"/>
            <w:vAlign w:val="top"/>
          </w:tcPr>
          <w:p>
            <w:pPr>
              <w:spacing w:line="520" w:lineRule="exact"/>
              <w:jc w:val="center"/>
              <w:rPr>
                <w:rFonts w:ascii="仿宋_GB2312" w:hAnsi="仿宋_GB2312" w:eastAsia="仿宋_GB2312" w:cs="仿宋_GB2312"/>
                <w:color w:val="auto"/>
                <w:sz w:val="32"/>
              </w:rPr>
            </w:pPr>
          </w:p>
        </w:tc>
        <w:tc>
          <w:tcPr>
            <w:tcW w:w="3020" w:type="dxa"/>
            <w:vAlign w:val="top"/>
          </w:tcPr>
          <w:p>
            <w:pPr>
              <w:spacing w:line="520" w:lineRule="exact"/>
              <w:jc w:val="center"/>
              <w:rPr>
                <w:rFonts w:ascii="仿宋_GB2312" w:hAnsi="仿宋_GB2312" w:eastAsia="仿宋_GB2312" w:cs="仿宋_GB2312"/>
                <w:color w:val="auto"/>
                <w:sz w:val="32"/>
              </w:rPr>
            </w:pPr>
          </w:p>
        </w:tc>
        <w:tc>
          <w:tcPr>
            <w:tcW w:w="2841" w:type="dxa"/>
            <w:vAlign w:val="top"/>
          </w:tcPr>
          <w:p>
            <w:pPr>
              <w:spacing w:line="520" w:lineRule="exact"/>
              <w:jc w:val="center"/>
              <w:rPr>
                <w:rFonts w:ascii="仿宋_GB2312" w:hAnsi="仿宋_GB2312" w:eastAsia="仿宋_GB2312" w:cs="仿宋_GB2312"/>
                <w:color w:val="auto"/>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02" w:type="dxa"/>
            <w:vAlign w:val="top"/>
          </w:tcPr>
          <w:p>
            <w:pPr>
              <w:spacing w:line="520" w:lineRule="exact"/>
              <w:jc w:val="left"/>
              <w:rPr>
                <w:rFonts w:ascii="仿宋_GB2312" w:hAnsi="仿宋_GB2312" w:eastAsia="仿宋_GB2312" w:cs="仿宋_GB2312"/>
                <w:color w:val="auto"/>
                <w:sz w:val="32"/>
              </w:rPr>
            </w:pPr>
          </w:p>
        </w:tc>
        <w:tc>
          <w:tcPr>
            <w:tcW w:w="3020" w:type="dxa"/>
            <w:vAlign w:val="top"/>
          </w:tcPr>
          <w:p>
            <w:pPr>
              <w:spacing w:line="520" w:lineRule="exact"/>
              <w:jc w:val="left"/>
              <w:rPr>
                <w:rFonts w:ascii="仿宋_GB2312" w:hAnsi="仿宋_GB2312" w:eastAsia="仿宋_GB2312" w:cs="仿宋_GB2312"/>
                <w:color w:val="auto"/>
                <w:sz w:val="32"/>
              </w:rPr>
            </w:pPr>
          </w:p>
        </w:tc>
        <w:tc>
          <w:tcPr>
            <w:tcW w:w="2841" w:type="dxa"/>
            <w:vAlign w:val="top"/>
          </w:tcPr>
          <w:p>
            <w:pPr>
              <w:spacing w:line="520" w:lineRule="exact"/>
              <w:jc w:val="left"/>
              <w:rPr>
                <w:rFonts w:ascii="仿宋_GB2312" w:hAnsi="仿宋_GB2312" w:eastAsia="仿宋_GB2312" w:cs="仿宋_GB2312"/>
                <w:color w:val="auto"/>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502" w:type="dxa"/>
            <w:vAlign w:val="top"/>
          </w:tcPr>
          <w:p>
            <w:pPr>
              <w:spacing w:line="520" w:lineRule="exact"/>
              <w:jc w:val="left"/>
              <w:rPr>
                <w:rFonts w:ascii="仿宋_GB2312" w:hAnsi="仿宋_GB2312" w:eastAsia="仿宋_GB2312" w:cs="仿宋_GB2312"/>
                <w:color w:val="auto"/>
                <w:sz w:val="32"/>
              </w:rPr>
            </w:pPr>
          </w:p>
        </w:tc>
        <w:tc>
          <w:tcPr>
            <w:tcW w:w="3020" w:type="dxa"/>
            <w:vAlign w:val="top"/>
          </w:tcPr>
          <w:p>
            <w:pPr>
              <w:spacing w:line="520" w:lineRule="exact"/>
              <w:jc w:val="left"/>
              <w:rPr>
                <w:rFonts w:ascii="仿宋_GB2312" w:hAnsi="仿宋_GB2312" w:eastAsia="仿宋_GB2312" w:cs="仿宋_GB2312"/>
                <w:color w:val="auto"/>
                <w:sz w:val="32"/>
              </w:rPr>
            </w:pPr>
          </w:p>
        </w:tc>
        <w:tc>
          <w:tcPr>
            <w:tcW w:w="2841" w:type="dxa"/>
            <w:vAlign w:val="top"/>
          </w:tcPr>
          <w:p>
            <w:pPr>
              <w:spacing w:line="520" w:lineRule="exact"/>
              <w:jc w:val="left"/>
              <w:rPr>
                <w:rFonts w:ascii="仿宋_GB2312" w:hAnsi="仿宋_GB2312" w:eastAsia="仿宋_GB2312" w:cs="仿宋_GB2312"/>
                <w:color w:val="auto"/>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8363" w:type="dxa"/>
            <w:gridSpan w:val="3"/>
            <w:vAlign w:val="top"/>
          </w:tcPr>
          <w:p>
            <w:pPr>
              <w:spacing w:line="520" w:lineRule="exact"/>
              <w:jc w:val="left"/>
              <w:rPr>
                <w:rFonts w:ascii="仿宋_GB2312" w:hAnsi="仿宋_GB2312" w:eastAsia="仿宋_GB2312" w:cs="仿宋_GB2312"/>
                <w:color w:val="auto"/>
                <w:sz w:val="28"/>
                <w:szCs w:val="22"/>
              </w:rPr>
            </w:pPr>
            <w:r>
              <w:rPr>
                <w:rFonts w:hint="eastAsia" w:ascii="仿宋_GB2312" w:hAnsi="仿宋_GB2312" w:eastAsia="仿宋_GB2312" w:cs="仿宋_GB2312"/>
                <w:color w:val="auto"/>
                <w:sz w:val="28"/>
                <w:szCs w:val="22"/>
              </w:rPr>
              <w:t>注：企业自行确定质保内容</w:t>
            </w:r>
          </w:p>
        </w:tc>
      </w:tr>
    </w:tbl>
    <w:p>
      <w:pPr>
        <w:spacing w:line="520" w:lineRule="exact"/>
        <w:jc w:val="left"/>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 xml:space="preserve">    </w:t>
      </w:r>
      <w:r>
        <w:rPr>
          <w:rFonts w:ascii="仿宋_GB2312" w:hAnsi="仿宋_GB2312" w:eastAsia="仿宋_GB2312" w:cs="仿宋_GB2312"/>
          <w:color w:val="auto"/>
          <w:sz w:val="32"/>
        </w:rPr>
        <w:t xml:space="preserve">2. 服务保障  </w:t>
      </w:r>
      <w:r>
        <w:rPr>
          <w:rFonts w:ascii="仿宋_GB2312" w:hAnsi="仿宋_GB2312" w:eastAsia="仿宋_GB2312" w:cs="仿宋_GB2312"/>
          <w:color w:val="auto"/>
          <w:sz w:val="32"/>
        </w:rPr>
        <w:br w:type="textWrapping"/>
      </w:r>
      <w:r>
        <w:rPr>
          <w:rFonts w:ascii="仿宋_GB2312" w:hAnsi="仿宋_GB2312" w:eastAsia="仿宋_GB2312" w:cs="仿宋_GB2312"/>
          <w:color w:val="auto"/>
          <w:sz w:val="32"/>
        </w:rPr>
        <w:t xml:space="preserve">   </w:t>
      </w:r>
      <w:r>
        <w:rPr>
          <w:rFonts w:hint="eastAsia" w:ascii="仿宋_GB2312" w:hAnsi="仿宋_GB2312" w:eastAsia="仿宋_GB2312" w:cs="仿宋_GB2312"/>
          <w:color w:val="auto"/>
          <w:sz w:val="32"/>
        </w:rPr>
        <w:t xml:space="preserve"> 甲方为乙方提供产品手册及操作指南、制定交机检查制度、开展机具使用操作及保养培训并保留确认记录；</w:t>
      </w:r>
    </w:p>
    <w:p>
      <w:pPr>
        <w:spacing w:line="560" w:lineRule="exact"/>
        <w:ind w:firstLine="640" w:firstLineChars="200"/>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甲方为乙方提供</w:t>
      </w:r>
      <w:r>
        <w:rPr>
          <w:rFonts w:hint="eastAsia" w:ascii="仿宋_GB2312" w:hAnsi="仿宋_GB2312" w:eastAsia="仿宋_GB2312" w:cs="仿宋_GB2312"/>
          <w:color w:val="auto"/>
          <w:sz w:val="32"/>
          <w:u w:val="single"/>
        </w:rPr>
        <w:t xml:space="preserve">       </w:t>
      </w:r>
      <w:r>
        <w:rPr>
          <w:rFonts w:hint="eastAsia" w:ascii="仿宋_GB2312" w:hAnsi="仿宋_GB2312" w:eastAsia="仿宋_GB2312" w:cs="仿宋_GB2312"/>
          <w:color w:val="auto"/>
          <w:sz w:val="32"/>
        </w:rPr>
        <w:t>时间内响应维修并提供服务县域内标准件和易损件等配件供应、备用机等全周期服务。产品发生严重故障48小时内未排除故障则调用性能一致的备用机具替代故障机具作业；</w:t>
      </w:r>
    </w:p>
    <w:p>
      <w:pPr>
        <w:spacing w:line="560" w:lineRule="exact"/>
        <w:ind w:firstLine="640" w:firstLineChars="200"/>
        <w:rPr>
          <w:rFonts w:ascii="仿宋_GB2312" w:hAnsi="仿宋_GB2312" w:eastAsia="仿宋_GB2312" w:cs="仿宋_GB2312"/>
          <w:color w:val="auto"/>
          <w:sz w:val="32"/>
        </w:rPr>
      </w:pPr>
      <w:r>
        <w:rPr>
          <w:rFonts w:hint="eastAsia" w:ascii="仿宋_GB2312" w:hAnsi="仿宋_GB2312" w:eastAsia="仿宋_GB2312" w:cs="仿宋_GB2312"/>
          <w:color w:val="auto"/>
          <w:sz w:val="32"/>
        </w:rPr>
        <w:t>甲方承诺在法定三包期的基础延长</w:t>
      </w:r>
      <w:r>
        <w:rPr>
          <w:rFonts w:hint="eastAsia" w:ascii="仿宋_GB2312" w:hAnsi="仿宋_GB2312" w:eastAsia="仿宋_GB2312" w:cs="仿宋_GB2312"/>
          <w:color w:val="auto"/>
          <w:sz w:val="32"/>
          <w:u w:val="single"/>
        </w:rPr>
        <w:t xml:space="preserve">    </w:t>
      </w:r>
      <w:r>
        <w:rPr>
          <w:rFonts w:hint="eastAsia" w:ascii="仿宋_GB2312" w:hAnsi="仿宋_GB2312" w:eastAsia="仿宋_GB2312" w:cs="仿宋_GB2312"/>
          <w:color w:val="auto"/>
          <w:sz w:val="32"/>
        </w:rPr>
        <w:t>年（至少1年）；提供线上用户专业性售后服务或视频维修保养指导。</w:t>
      </w:r>
    </w:p>
    <w:p>
      <w:pPr>
        <w:numPr>
          <w:ilvl w:val="0"/>
          <w:numId w:val="3"/>
        </w:numPr>
        <w:spacing w:line="520" w:lineRule="exact"/>
        <w:ind w:left="638" w:leftChars="304"/>
        <w:jc w:val="left"/>
        <w:rPr>
          <w:rFonts w:hint="eastAsia" w:ascii="黑体" w:hAnsi="黑体" w:eastAsia="黑体" w:cs="黑体"/>
          <w:color w:val="auto"/>
          <w:sz w:val="32"/>
        </w:rPr>
      </w:pPr>
      <w:r>
        <w:rPr>
          <w:rFonts w:hint="eastAsia" w:ascii="黑体" w:hAnsi="黑体" w:eastAsia="黑体" w:cs="黑体"/>
          <w:color w:val="auto"/>
          <w:sz w:val="32"/>
        </w:rPr>
        <w:t>违约承诺</w:t>
      </w:r>
    </w:p>
    <w:p>
      <w:pPr>
        <w:spacing w:line="560" w:lineRule="exact"/>
        <w:ind w:firstLine="640" w:firstLineChars="200"/>
        <w:rPr>
          <w:rFonts w:hint="eastAsia" w:ascii="仿宋_GB2312" w:hAnsi="仿宋_GB2312" w:eastAsia="仿宋_GB2312" w:cs="仿宋_GB2312"/>
          <w:b/>
          <w:bCs/>
          <w:color w:val="auto"/>
          <w:sz w:val="32"/>
        </w:rPr>
      </w:pPr>
      <w:r>
        <w:rPr>
          <w:rFonts w:hint="eastAsia" w:ascii="仿宋_GB2312" w:hAnsi="仿宋_GB2312" w:eastAsia="仿宋_GB2312" w:cs="仿宋_GB2312"/>
          <w:color w:val="auto"/>
          <w:sz w:val="32"/>
        </w:rPr>
        <w:t>甲方承诺产品严格按照《产品质量法》生产，因质量缺陷造成损失的，按《农业机械产品修理、更换、退货责任规定》处理。</w:t>
      </w:r>
    </w:p>
    <w:p>
      <w:pPr>
        <w:spacing w:line="520" w:lineRule="exact"/>
        <w:ind w:firstLine="640" w:firstLineChars="200"/>
        <w:jc w:val="left"/>
        <w:rPr>
          <w:rFonts w:ascii="仿宋_GB2312" w:hAnsi="仿宋_GB2312" w:eastAsia="仿宋_GB2312" w:cs="仿宋_GB2312"/>
          <w:color w:val="auto"/>
          <w:sz w:val="32"/>
        </w:rPr>
      </w:pPr>
    </w:p>
    <w:p>
      <w:pPr>
        <w:spacing w:line="520" w:lineRule="exact"/>
        <w:ind w:firstLine="640" w:firstLineChars="200"/>
        <w:jc w:val="left"/>
        <w:rPr>
          <w:rFonts w:ascii="仿宋_GB2312" w:hAnsi="仿宋_GB2312" w:eastAsia="仿宋_GB2312" w:cs="仿宋_GB2312"/>
          <w:color w:val="auto"/>
          <w:sz w:val="32"/>
        </w:rPr>
      </w:pPr>
    </w:p>
    <w:p>
      <w:pPr>
        <w:spacing w:line="520" w:lineRule="exact"/>
        <w:ind w:firstLine="640" w:firstLineChars="200"/>
        <w:jc w:val="left"/>
        <w:rPr>
          <w:rFonts w:ascii="仿宋_GB2312" w:hAnsi="仿宋_GB2312" w:eastAsia="仿宋_GB2312" w:cs="仿宋_GB2312"/>
          <w:color w:val="auto"/>
          <w:sz w:val="32"/>
        </w:rPr>
      </w:pPr>
    </w:p>
    <w:p>
      <w:pPr>
        <w:spacing w:line="520" w:lineRule="exact"/>
        <w:ind w:firstLine="640" w:firstLineChars="200"/>
        <w:jc w:val="left"/>
        <w:rPr>
          <w:rFonts w:ascii="仿宋_GB2312" w:hAnsi="仿宋_GB2312" w:eastAsia="仿宋_GB2312" w:cs="仿宋_GB2312"/>
          <w:color w:val="auto"/>
          <w:sz w:val="32"/>
        </w:rPr>
      </w:pPr>
      <w:r>
        <w:rPr>
          <w:rFonts w:ascii="仿宋_GB2312" w:hAnsi="仿宋_GB2312" w:eastAsia="仿宋_GB2312" w:cs="仿宋_GB2312"/>
          <w:color w:val="auto"/>
          <w:sz w:val="32"/>
        </w:rPr>
        <w:t xml:space="preserve">甲方（盖章）： </w:t>
      </w:r>
      <w:r>
        <w:rPr>
          <w:rFonts w:hint="eastAsia" w:ascii="仿宋_GB2312" w:hAnsi="仿宋_GB2312" w:eastAsia="仿宋_GB2312" w:cs="仿宋_GB2312"/>
          <w:color w:val="auto"/>
          <w:sz w:val="32"/>
          <w:u w:val="single"/>
          <w:lang w:val="en-US" w:eastAsia="zh-CN"/>
        </w:rPr>
        <w:t xml:space="preserve">                         </w:t>
      </w:r>
      <w:r>
        <w:rPr>
          <w:rFonts w:ascii="仿宋_GB2312" w:hAnsi="仿宋_GB2312" w:eastAsia="仿宋_GB2312" w:cs="仿宋_GB2312"/>
          <w:color w:val="auto"/>
          <w:sz w:val="32"/>
        </w:rPr>
        <w:t xml:space="preserve"> </w:t>
      </w:r>
    </w:p>
    <w:p>
      <w:pPr>
        <w:spacing w:line="520" w:lineRule="exact"/>
        <w:ind w:firstLine="642"/>
        <w:jc w:val="left"/>
        <w:rPr>
          <w:rFonts w:hint="default" w:ascii="仿宋_GB2312" w:hAnsi="仿宋_GB2312" w:eastAsia="仿宋_GB2312" w:cs="仿宋_GB2312"/>
          <w:color w:val="auto"/>
          <w:sz w:val="32"/>
          <w:lang w:val="en-US" w:eastAsia="zh-CN"/>
        </w:rPr>
      </w:pPr>
      <w:r>
        <w:rPr>
          <w:rFonts w:ascii="仿宋_GB2312" w:hAnsi="仿宋_GB2312" w:eastAsia="仿宋_GB2312" w:cs="仿宋_GB2312"/>
          <w:color w:val="auto"/>
          <w:sz w:val="32"/>
        </w:rPr>
        <w:t xml:space="preserve">代表人签字： </w:t>
      </w:r>
      <w:r>
        <w:rPr>
          <w:rFonts w:hint="eastAsia" w:ascii="仿宋_GB2312" w:hAnsi="仿宋_GB2312" w:eastAsia="仿宋_GB2312" w:cs="仿宋_GB2312"/>
          <w:color w:val="auto"/>
          <w:sz w:val="32"/>
          <w:u w:val="single"/>
          <w:lang w:val="en-US" w:eastAsia="zh-CN"/>
        </w:rPr>
        <w:t xml:space="preserve">                           </w:t>
      </w:r>
      <w:r>
        <w:rPr>
          <w:rFonts w:hint="eastAsia" w:ascii="仿宋_GB2312" w:hAnsi="仿宋_GB2312" w:eastAsia="仿宋_GB2312" w:cs="仿宋_GB2312"/>
          <w:color w:val="auto"/>
          <w:sz w:val="32"/>
          <w:lang w:val="en-US" w:eastAsia="zh-CN"/>
        </w:rPr>
        <w:t xml:space="preserve">        </w:t>
      </w:r>
    </w:p>
    <w:p>
      <w:pPr>
        <w:spacing w:line="520" w:lineRule="exact"/>
        <w:ind w:firstLine="642"/>
        <w:jc w:val="left"/>
        <w:rPr>
          <w:rFonts w:hint="default" w:ascii="仿宋_GB2312" w:hAnsi="仿宋_GB2312" w:eastAsia="仿宋_GB2312" w:cs="仿宋_GB2312"/>
          <w:color w:val="auto"/>
          <w:sz w:val="32"/>
          <w:u w:val="single"/>
          <w:lang w:val="en-US" w:eastAsia="zh-CN"/>
        </w:rPr>
      </w:pPr>
      <w:r>
        <w:rPr>
          <w:rFonts w:ascii="仿宋_GB2312" w:hAnsi="仿宋_GB2312" w:eastAsia="仿宋_GB2312" w:cs="仿宋_GB2312"/>
          <w:color w:val="auto"/>
          <w:sz w:val="32"/>
        </w:rPr>
        <w:t xml:space="preserve">日期： </w:t>
      </w:r>
      <w:r>
        <w:rPr>
          <w:rFonts w:hint="eastAsia" w:ascii="仿宋_GB2312" w:hAnsi="仿宋_GB2312" w:eastAsia="仿宋_GB2312" w:cs="仿宋_GB2312"/>
          <w:color w:val="auto"/>
          <w:sz w:val="32"/>
          <w:u w:val="single"/>
          <w:lang w:val="en-US" w:eastAsia="zh-CN"/>
        </w:rPr>
        <w:t xml:space="preserve">                                 </w:t>
      </w:r>
    </w:p>
    <w:p>
      <w:pPr>
        <w:spacing w:line="520" w:lineRule="exact"/>
        <w:ind w:firstLine="642"/>
        <w:jc w:val="left"/>
        <w:rPr>
          <w:rFonts w:ascii="仿宋_GB2312" w:hAnsi="仿宋_GB2312" w:eastAsia="仿宋_GB2312" w:cs="仿宋_GB2312"/>
          <w:color w:val="auto"/>
          <w:sz w:val="32"/>
        </w:rPr>
      </w:pPr>
    </w:p>
    <w:p>
      <w:pPr>
        <w:spacing w:line="520" w:lineRule="exact"/>
        <w:ind w:firstLine="642"/>
        <w:jc w:val="left"/>
        <w:rPr>
          <w:rFonts w:ascii="仿宋_GB2312" w:hAnsi="仿宋_GB2312" w:eastAsia="仿宋_GB2312" w:cs="仿宋_GB2312"/>
          <w:color w:val="auto"/>
          <w:sz w:val="32"/>
        </w:rPr>
      </w:pPr>
    </w:p>
    <w:p>
      <w:pPr>
        <w:spacing w:line="520" w:lineRule="exact"/>
        <w:ind w:firstLine="642"/>
        <w:jc w:val="left"/>
        <w:rPr>
          <w:rFonts w:ascii="仿宋_GB2312" w:hAnsi="仿宋_GB2312" w:eastAsia="仿宋_GB2312" w:cs="仿宋_GB2312"/>
          <w:color w:val="auto"/>
          <w:sz w:val="32"/>
        </w:rPr>
      </w:pPr>
      <w:r>
        <w:rPr>
          <w:rFonts w:ascii="仿宋_GB2312" w:hAnsi="仿宋_GB2312" w:eastAsia="仿宋_GB2312" w:cs="仿宋_GB2312"/>
          <w:color w:val="auto"/>
          <w:sz w:val="32"/>
        </w:rPr>
        <w:t xml:space="preserve">乙方（签字）： </w:t>
      </w:r>
      <w:r>
        <w:rPr>
          <w:rFonts w:hint="eastAsia" w:ascii="仿宋_GB2312" w:hAnsi="仿宋_GB2312" w:eastAsia="仿宋_GB2312" w:cs="仿宋_GB2312"/>
          <w:color w:val="auto"/>
          <w:sz w:val="32"/>
          <w:u w:val="single"/>
          <w:lang w:val="en-US" w:eastAsia="zh-CN"/>
        </w:rPr>
        <w:t xml:space="preserve">                         </w:t>
      </w:r>
      <w:r>
        <w:rPr>
          <w:rFonts w:ascii="仿宋_GB2312" w:hAnsi="仿宋_GB2312" w:eastAsia="仿宋_GB2312" w:cs="仿宋_GB2312"/>
          <w:color w:val="auto"/>
          <w:sz w:val="32"/>
        </w:rPr>
        <w:t xml:space="preserve"> </w:t>
      </w:r>
    </w:p>
    <w:p>
      <w:pPr>
        <w:spacing w:line="520" w:lineRule="exact"/>
        <w:ind w:firstLine="642"/>
        <w:jc w:val="left"/>
        <w:rPr>
          <w:rFonts w:ascii="仿宋_GB2312" w:hAnsi="仿宋_GB2312" w:eastAsia="仿宋_GB2312" w:cs="仿宋_GB2312"/>
          <w:color w:val="E46C0A" w:themeColor="accent6" w:themeShade="BF"/>
          <w:sz w:val="32"/>
        </w:rPr>
      </w:pPr>
      <w:r>
        <w:rPr>
          <w:rFonts w:ascii="仿宋_GB2312" w:hAnsi="仿宋_GB2312" w:eastAsia="仿宋_GB2312" w:cs="仿宋_GB2312"/>
          <w:color w:val="auto"/>
          <w:sz w:val="32"/>
        </w:rPr>
        <w:t xml:space="preserve">日期： </w:t>
      </w:r>
      <w:r>
        <w:rPr>
          <w:rFonts w:hint="eastAsia" w:ascii="仿宋_GB2312" w:hAnsi="仿宋_GB2312" w:eastAsia="仿宋_GB2312" w:cs="仿宋_GB2312"/>
          <w:color w:val="auto"/>
          <w:sz w:val="32"/>
          <w:u w:val="single"/>
          <w:lang w:val="en-US" w:eastAsia="zh-CN"/>
        </w:rPr>
        <w:t xml:space="preserve">                                 </w:t>
      </w:r>
      <w:r>
        <w:rPr>
          <w:rFonts w:ascii="仿宋_GB2312" w:hAnsi="仿宋_GB2312" w:eastAsia="仿宋_GB2312" w:cs="仿宋_GB2312"/>
          <w:color w:val="E46C0A" w:themeColor="accent6" w:themeShade="BF"/>
          <w:sz w:val="32"/>
        </w:rPr>
        <w:t xml:space="preserve"> </w:t>
      </w:r>
    </w:p>
    <w:p>
      <w:pPr>
        <w:spacing w:line="520" w:lineRule="exact"/>
        <w:ind w:firstLine="642"/>
        <w:jc w:val="left"/>
        <w:rPr>
          <w:rFonts w:ascii="仿宋_GB2312" w:hAnsi="仿宋_GB2312" w:eastAsia="仿宋_GB2312" w:cs="仿宋_GB2312"/>
          <w:color w:val="E46C0A" w:themeColor="accent6" w:themeShade="BF"/>
          <w:sz w:val="32"/>
        </w:rPr>
      </w:pPr>
    </w:p>
    <w:p>
      <w:pPr>
        <w:rPr>
          <w:rFonts w:hint="eastAsia" w:ascii="方正小标宋_GBK" w:hAnsi="方正小标宋_GBK" w:eastAsia="方正小标宋_GBK" w:cs="方正小标宋_GBK"/>
          <w:b w:val="0"/>
          <w:bCs w:val="0"/>
          <w:color w:val="E46C0A" w:themeColor="accent6" w:themeShade="BF"/>
          <w:sz w:val="44"/>
          <w:szCs w:val="44"/>
          <w:lang w:val="en-US" w:eastAsia="zh-CN"/>
        </w:rPr>
      </w:pPr>
      <w:r>
        <w:rPr>
          <w:rFonts w:hint="eastAsia" w:ascii="方正小标宋_GBK" w:hAnsi="方正小标宋_GBK" w:eastAsia="方正小标宋_GBK" w:cs="方正小标宋_GBK"/>
          <w:b w:val="0"/>
          <w:bCs w:val="0"/>
          <w:color w:val="E46C0A" w:themeColor="accent6" w:themeShade="BF"/>
          <w:sz w:val="44"/>
          <w:szCs w:val="44"/>
          <w:lang w:val="en-US" w:eastAsia="zh-CN"/>
        </w:rPr>
        <w:br w:type="page"/>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附件4</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b w:val="0"/>
          <w:bCs w:val="0"/>
          <w:color w:val="E46C0A" w:themeColor="accent6" w:themeShade="BF"/>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val="en-US" w:eastAsia="zh-CN"/>
        </w:rPr>
        <w:t>河北省</w:t>
      </w:r>
      <w:r>
        <w:rPr>
          <w:rFonts w:hint="eastAsia" w:ascii="方正小标宋_GBK" w:hAnsi="方正小标宋_GBK" w:eastAsia="方正小标宋_GBK" w:cs="方正小标宋_GBK"/>
          <w:color w:val="auto"/>
          <w:sz w:val="44"/>
          <w:szCs w:val="44"/>
          <w:lang w:eastAsia="zh-CN"/>
        </w:rPr>
        <w:t>农机购置与应用补贴</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eastAsia="zh-CN"/>
        </w:rPr>
        <w:t>“优机”抽样</w:t>
      </w:r>
      <w:r>
        <w:rPr>
          <w:rFonts w:hint="eastAsia" w:ascii="方正小标宋_GBK" w:hAnsi="方正小标宋_GBK" w:eastAsia="方正小标宋_GBK" w:cs="方正小标宋_GBK"/>
          <w:color w:val="auto"/>
          <w:sz w:val="44"/>
          <w:szCs w:val="44"/>
        </w:rPr>
        <w:t>调查</w:t>
      </w:r>
      <w:r>
        <w:rPr>
          <w:rFonts w:hint="eastAsia" w:ascii="方正小标宋_GBK" w:hAnsi="方正小标宋_GBK" w:eastAsia="方正小标宋_GBK" w:cs="方正小标宋_GBK"/>
          <w:color w:val="auto"/>
          <w:sz w:val="44"/>
          <w:szCs w:val="44"/>
          <w:lang w:eastAsia="zh-CN"/>
        </w:rPr>
        <w:t>制度</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楷体" w:hAnsi="楷体" w:eastAsia="楷体" w:cs="楷体"/>
          <w:color w:val="E46C0A" w:themeColor="accent6" w:themeShade="BF"/>
          <w:sz w:val="36"/>
          <w:szCs w:val="36"/>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lang w:val="en-US" w:eastAsia="zh-CN"/>
        </w:rPr>
        <w:t xml:space="preserve">第一章 </w:t>
      </w:r>
      <w:r>
        <w:rPr>
          <w:rFonts w:hint="eastAsia" w:ascii="方正黑体_GBK" w:hAnsi="方正黑体_GBK" w:eastAsia="方正黑体_GBK" w:cs="方正黑体_GBK"/>
          <w:b w:val="0"/>
          <w:bCs w:val="0"/>
          <w:color w:val="auto"/>
          <w:sz w:val="32"/>
          <w:szCs w:val="32"/>
        </w:rPr>
        <w:t>总则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第一条　为了规范</w:t>
      </w:r>
      <w:r>
        <w:rPr>
          <w:rFonts w:hint="eastAsia" w:ascii="仿宋_GB2312" w:hAnsi="仿宋_GB2312" w:eastAsia="仿宋_GB2312" w:cs="仿宋_GB2312"/>
          <w:color w:val="auto"/>
          <w:sz w:val="32"/>
          <w:szCs w:val="32"/>
          <w:highlight w:val="none"/>
          <w:lang w:eastAsia="zh-CN"/>
        </w:rPr>
        <w:t>“优机”抽样调查工作</w:t>
      </w:r>
      <w:r>
        <w:rPr>
          <w:rFonts w:hint="eastAsia" w:ascii="仿宋_GB2312" w:hAnsi="仿宋_GB2312" w:eastAsia="仿宋_GB2312" w:cs="仿宋_GB2312"/>
          <w:color w:val="auto"/>
          <w:sz w:val="32"/>
          <w:szCs w:val="32"/>
          <w:highlight w:val="none"/>
        </w:rPr>
        <w:t>，加强</w:t>
      </w:r>
      <w:r>
        <w:rPr>
          <w:rFonts w:hint="eastAsia" w:ascii="仿宋_GB2312" w:hAnsi="仿宋_GB2312" w:eastAsia="仿宋_GB2312" w:cs="仿宋_GB2312"/>
          <w:color w:val="auto"/>
          <w:sz w:val="32"/>
          <w:szCs w:val="32"/>
          <w:highlight w:val="none"/>
          <w:lang w:eastAsia="zh-CN"/>
        </w:rPr>
        <w:t>对评为“优机”</w:t>
      </w:r>
      <w:r>
        <w:rPr>
          <w:rFonts w:hint="eastAsia" w:ascii="仿宋_GB2312" w:hAnsi="仿宋_GB2312" w:eastAsia="仿宋_GB2312" w:cs="仿宋_GB2312"/>
          <w:color w:val="auto"/>
          <w:sz w:val="32"/>
          <w:szCs w:val="32"/>
          <w:highlight w:val="none"/>
        </w:rPr>
        <w:t>产品</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监督管理，维护</w:t>
      </w:r>
      <w:r>
        <w:rPr>
          <w:rFonts w:hint="eastAsia" w:ascii="仿宋_GB2312" w:hAnsi="仿宋_GB2312" w:eastAsia="仿宋_GB2312" w:cs="仿宋_GB2312"/>
          <w:color w:val="auto"/>
          <w:sz w:val="32"/>
          <w:szCs w:val="32"/>
          <w:highlight w:val="none"/>
          <w:lang w:val="en-US" w:eastAsia="zh-CN"/>
        </w:rPr>
        <w:t>购机者</w:t>
      </w:r>
      <w:r>
        <w:rPr>
          <w:rFonts w:hint="eastAsia" w:ascii="仿宋_GB2312" w:hAnsi="仿宋_GB2312" w:eastAsia="仿宋_GB2312" w:cs="仿宋_GB2312"/>
          <w:color w:val="auto"/>
          <w:sz w:val="32"/>
          <w:szCs w:val="32"/>
          <w:highlight w:val="none"/>
        </w:rPr>
        <w:t>和生产者、销售者的合法权益，</w:t>
      </w:r>
      <w:r>
        <w:rPr>
          <w:rFonts w:hint="eastAsia" w:ascii="仿宋_GB2312" w:hAnsi="仿宋_GB2312" w:eastAsia="仿宋_GB2312" w:cs="仿宋_GB2312"/>
          <w:color w:val="auto"/>
          <w:sz w:val="32"/>
          <w:szCs w:val="32"/>
          <w:highlight w:val="none"/>
          <w:lang w:eastAsia="zh-CN"/>
        </w:rPr>
        <w:t>制定</w:t>
      </w: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制度</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条　</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lang w:val="en-US" w:eastAsia="zh-CN"/>
        </w:rPr>
        <w:t>由省农业农村厅组织，</w:t>
      </w:r>
      <w:r>
        <w:rPr>
          <w:rFonts w:hint="eastAsia" w:ascii="仿宋_GB2312" w:hAnsi="仿宋_GB2312" w:eastAsia="仿宋_GB2312" w:cs="仿宋_GB2312"/>
          <w:color w:val="auto"/>
          <w:sz w:val="32"/>
          <w:szCs w:val="32"/>
          <w:highlight w:val="none"/>
        </w:rPr>
        <w:t>具体工作由省级以上农业机械试验鉴定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检验检测等</w:t>
      </w:r>
      <w:r>
        <w:rPr>
          <w:rFonts w:hint="eastAsia" w:ascii="仿宋_GB2312" w:hAnsi="仿宋_GB2312" w:eastAsia="仿宋_GB2312" w:cs="仿宋_GB2312"/>
          <w:color w:val="auto"/>
          <w:sz w:val="32"/>
          <w:szCs w:val="32"/>
          <w:highlight w:val="none"/>
        </w:rPr>
        <w:t>机构承担，农业机械化技术推广、安全监理等机构配合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调查涉及地区的</w:t>
      </w:r>
      <w:r>
        <w:rPr>
          <w:rFonts w:hint="eastAsia" w:ascii="仿宋_GB2312" w:hAnsi="仿宋_GB2312" w:eastAsia="仿宋_GB2312" w:cs="仿宋_GB2312"/>
          <w:color w:val="auto"/>
          <w:sz w:val="32"/>
          <w:szCs w:val="32"/>
          <w:highlight w:val="none"/>
          <w:lang w:val="en-US" w:eastAsia="zh-CN"/>
        </w:rPr>
        <w:t>农业农村</w:t>
      </w:r>
      <w:r>
        <w:rPr>
          <w:rFonts w:hint="eastAsia" w:ascii="仿宋_GB2312" w:hAnsi="仿宋_GB2312" w:eastAsia="仿宋_GB2312" w:cs="仿宋_GB2312"/>
          <w:color w:val="auto"/>
          <w:sz w:val="32"/>
          <w:szCs w:val="32"/>
          <w:highlight w:val="none"/>
        </w:rPr>
        <w:t>部门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农机产销企业</w:t>
      </w:r>
      <w:r>
        <w:rPr>
          <w:rFonts w:hint="eastAsia" w:ascii="仿宋_GB2312" w:hAnsi="仿宋_GB2312" w:eastAsia="仿宋_GB2312" w:cs="仿宋_GB2312"/>
          <w:color w:val="auto"/>
          <w:sz w:val="32"/>
          <w:szCs w:val="32"/>
          <w:highlight w:val="none"/>
        </w:rPr>
        <w:t>予以支持协助。</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第</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条　</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坚持科学、公正、公开的原则，接受农业机械使用者、生产者、销售者和社会的监督。</w:t>
      </w:r>
    </w:p>
    <w:p>
      <w:pPr>
        <w:keepNext w:val="0"/>
        <w:keepLines w:val="0"/>
        <w:pageBreakBefore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条　</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 xml:space="preserve">不向调查涉及的单位和个人收取任何费用。 </w:t>
      </w:r>
    </w:p>
    <w:p>
      <w:pPr>
        <w:keepNext w:val="0"/>
        <w:keepLines w:val="0"/>
        <w:pageBreakBefore w:val="0"/>
        <w:kinsoku/>
        <w:wordWrap/>
        <w:overflowPunct/>
        <w:topLinePunct w:val="0"/>
        <w:autoSpaceDE/>
        <w:autoSpaceDN/>
        <w:bidi w:val="0"/>
        <w:adjustRightInd/>
        <w:snapToGrid/>
        <w:spacing w:line="560" w:lineRule="exact"/>
        <w:ind w:firstLine="665"/>
        <w:jc w:val="center"/>
        <w:textAlignment w:val="auto"/>
        <w:rPr>
          <w:rFonts w:hint="eastAsia" w:ascii="仿宋_GB2312" w:hAnsi="仿宋_GB2312" w:eastAsia="仿宋_GB2312" w:cs="仿宋_GB2312"/>
          <w:b/>
          <w:bCs/>
          <w:color w:val="E46C0A" w:themeColor="accent6" w:themeShade="BF"/>
          <w:sz w:val="32"/>
          <w:szCs w:val="32"/>
          <w:highlight w:val="none"/>
        </w:rPr>
      </w:pPr>
      <w:r>
        <w:rPr>
          <w:rFonts w:hint="eastAsia" w:ascii="方正黑体_GBK" w:hAnsi="方正黑体_GBK" w:eastAsia="方正黑体_GBK" w:cs="方正黑体_GBK"/>
          <w:b w:val="0"/>
          <w:bCs w:val="0"/>
          <w:color w:val="auto"/>
          <w:sz w:val="32"/>
          <w:szCs w:val="32"/>
          <w:highlight w:val="none"/>
        </w:rPr>
        <w:t>第二章　</w:t>
      </w:r>
      <w:r>
        <w:rPr>
          <w:rFonts w:hint="eastAsia" w:ascii="方正黑体_GBK" w:hAnsi="方正黑体_GBK" w:eastAsia="方正黑体_GBK" w:cs="方正黑体_GBK"/>
          <w:b w:val="0"/>
          <w:bCs w:val="0"/>
          <w:color w:val="auto"/>
          <w:sz w:val="32"/>
          <w:szCs w:val="32"/>
          <w:highlight w:val="none"/>
          <w:lang w:eastAsia="zh-CN"/>
        </w:rPr>
        <w:t>抽样调查</w:t>
      </w:r>
      <w:r>
        <w:rPr>
          <w:rFonts w:hint="eastAsia" w:ascii="方正黑体_GBK" w:hAnsi="方正黑体_GBK" w:eastAsia="方正黑体_GBK" w:cs="方正黑体_GBK"/>
          <w:b w:val="0"/>
          <w:bCs w:val="0"/>
          <w:color w:val="auto"/>
          <w:sz w:val="32"/>
          <w:szCs w:val="32"/>
          <w:highlight w:val="none"/>
        </w:rPr>
        <w:t>的确定</w:t>
      </w:r>
    </w:p>
    <w:p>
      <w:pPr>
        <w:keepNext w:val="0"/>
        <w:keepLines w:val="0"/>
        <w:pageBreakBefore w:val="0"/>
        <w:kinsoku/>
        <w:wordWrap/>
        <w:overflowPunct/>
        <w:topLinePunct w:val="0"/>
        <w:autoSpaceDE/>
        <w:autoSpaceDN/>
        <w:bidi w:val="0"/>
        <w:adjustRightInd/>
        <w:snapToGrid/>
        <w:spacing w:line="560" w:lineRule="exact"/>
        <w:ind w:firstLine="665"/>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条　</w:t>
      </w:r>
      <w:r>
        <w:rPr>
          <w:rFonts w:hint="eastAsia" w:ascii="仿宋_GB2312" w:hAnsi="仿宋_GB2312" w:eastAsia="仿宋_GB2312" w:cs="仿宋_GB2312"/>
          <w:color w:val="auto"/>
          <w:sz w:val="32"/>
          <w:szCs w:val="32"/>
          <w:highlight w:val="none"/>
          <w:lang w:val="en-US" w:eastAsia="zh-CN"/>
        </w:rPr>
        <w:t>调查承担</w:t>
      </w:r>
      <w:r>
        <w:rPr>
          <w:rFonts w:hint="eastAsia" w:ascii="仿宋_GB2312" w:hAnsi="仿宋_GB2312" w:eastAsia="仿宋_GB2312" w:cs="仿宋_GB2312"/>
          <w:color w:val="auto"/>
          <w:sz w:val="32"/>
          <w:szCs w:val="32"/>
          <w:highlight w:val="none"/>
        </w:rPr>
        <w:t>机构应当加强质量信息收集和调查研究工作，并提出</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建议。</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条　列入</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计划的</w:t>
      </w:r>
      <w:r>
        <w:rPr>
          <w:rFonts w:hint="eastAsia" w:ascii="仿宋_GB2312" w:hAnsi="仿宋_GB2312" w:eastAsia="仿宋_GB2312" w:cs="仿宋_GB2312"/>
          <w:color w:val="auto"/>
          <w:sz w:val="32"/>
          <w:szCs w:val="32"/>
          <w:highlight w:val="none"/>
          <w:lang w:val="en-US" w:eastAsia="zh-CN"/>
        </w:rPr>
        <w:t>农机</w:t>
      </w:r>
      <w:r>
        <w:rPr>
          <w:rFonts w:hint="eastAsia" w:ascii="仿宋_GB2312" w:hAnsi="仿宋_GB2312" w:eastAsia="仿宋_GB2312" w:cs="仿宋_GB2312"/>
          <w:color w:val="auto"/>
          <w:sz w:val="32"/>
          <w:szCs w:val="32"/>
          <w:highlight w:val="none"/>
        </w:rPr>
        <w:t>产品，应当</w:t>
      </w:r>
      <w:r>
        <w:rPr>
          <w:rFonts w:hint="eastAsia" w:ascii="仿宋_GB2312" w:hAnsi="仿宋_GB2312" w:eastAsia="仿宋_GB2312" w:cs="仿宋_GB2312"/>
          <w:color w:val="auto"/>
          <w:sz w:val="32"/>
          <w:szCs w:val="32"/>
          <w:highlight w:val="none"/>
          <w:lang w:eastAsia="zh-CN"/>
        </w:rPr>
        <w:t>为纳入“优机优补”范围和退出补贴范围的机具。</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E46C0A" w:themeColor="accent6" w:themeShade="BF"/>
          <w:sz w:val="32"/>
          <w:szCs w:val="32"/>
          <w:highlight w:val="none"/>
        </w:rPr>
        <w:t>　　</w:t>
      </w:r>
      <w:r>
        <w:rPr>
          <w:rFonts w:hint="eastAsia"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条　</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内容包括：</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auto"/>
          <w:sz w:val="32"/>
          <w:szCs w:val="32"/>
          <w:highlight w:val="none"/>
          <w:lang w:eastAsia="zh-CN"/>
        </w:rPr>
        <w:t>作业效率</w:t>
      </w:r>
      <w:r>
        <w:rPr>
          <w:rFonts w:hint="eastAsia" w:ascii="仿宋_GB2312" w:hAnsi="仿宋_GB2312" w:eastAsia="仿宋_GB2312" w:cs="仿宋_GB2312"/>
          <w:color w:val="auto"/>
          <w:sz w:val="32"/>
          <w:szCs w:val="32"/>
          <w:highlight w:val="none"/>
        </w:rPr>
        <w:t>调查：对农业机械在不同地域、不同作物及品种或者不同耕作制度的作业</w:t>
      </w:r>
      <w:r>
        <w:rPr>
          <w:rFonts w:hint="eastAsia" w:ascii="仿宋_GB2312" w:hAnsi="仿宋_GB2312" w:eastAsia="仿宋_GB2312" w:cs="仿宋_GB2312"/>
          <w:color w:val="auto"/>
          <w:sz w:val="32"/>
          <w:szCs w:val="32"/>
          <w:highlight w:val="none"/>
          <w:lang w:eastAsia="zh-CN"/>
        </w:rPr>
        <w:t>效率</w:t>
      </w:r>
      <w:r>
        <w:rPr>
          <w:rFonts w:hint="eastAsia" w:ascii="仿宋_GB2312" w:hAnsi="仿宋_GB2312" w:eastAsia="仿宋_GB2312" w:cs="仿宋_GB2312"/>
          <w:color w:val="auto"/>
          <w:sz w:val="32"/>
          <w:szCs w:val="32"/>
          <w:highlight w:val="none"/>
        </w:rPr>
        <w:t>进行调查；　　</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（二）可靠性调查：对农业机械故障情况进行调查；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（三）</w:t>
      </w:r>
      <w:r>
        <w:rPr>
          <w:rFonts w:hint="eastAsia" w:ascii="仿宋_GB2312" w:hAnsi="仿宋_GB2312" w:eastAsia="仿宋_GB2312" w:cs="仿宋_GB2312"/>
          <w:color w:val="auto"/>
          <w:sz w:val="32"/>
          <w:szCs w:val="32"/>
          <w:highlight w:val="none"/>
          <w:lang w:eastAsia="zh-CN"/>
        </w:rPr>
        <w:t>智能化</w:t>
      </w:r>
      <w:r>
        <w:rPr>
          <w:rFonts w:hint="eastAsia" w:ascii="仿宋_GB2312" w:hAnsi="仿宋_GB2312" w:eastAsia="仿宋_GB2312" w:cs="仿宋_GB2312"/>
          <w:color w:val="auto"/>
          <w:sz w:val="32"/>
          <w:szCs w:val="32"/>
          <w:highlight w:val="none"/>
        </w:rPr>
        <w:t>调查：对农业机械</w:t>
      </w:r>
      <w:r>
        <w:rPr>
          <w:rFonts w:hint="eastAsia" w:ascii="仿宋_GB2312" w:hAnsi="仿宋_GB2312" w:eastAsia="仿宋_GB2312" w:cs="仿宋_GB2312"/>
          <w:color w:val="auto"/>
          <w:sz w:val="32"/>
          <w:szCs w:val="32"/>
          <w:highlight w:val="none"/>
          <w:lang w:eastAsia="zh-CN"/>
        </w:rPr>
        <w:t>先进性和智能化</w:t>
      </w:r>
      <w:r>
        <w:rPr>
          <w:rFonts w:hint="eastAsia" w:ascii="仿宋_GB2312" w:hAnsi="仿宋_GB2312" w:eastAsia="仿宋_GB2312" w:cs="仿宋_GB2312"/>
          <w:color w:val="auto"/>
          <w:sz w:val="32"/>
          <w:szCs w:val="32"/>
          <w:highlight w:val="none"/>
        </w:rPr>
        <w:t>程度进行调查；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（四）售后服务状况调查：对企业质量承诺和售后服务承诺兑现情况进行调查。</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第</w:t>
      </w:r>
      <w:r>
        <w:rPr>
          <w:rFonts w:hint="eastAsia" w:ascii="仿宋_GB2312" w:hAnsi="仿宋_GB2312" w:eastAsia="仿宋_GB2312" w:cs="仿宋_GB2312"/>
          <w:color w:val="auto"/>
          <w:sz w:val="32"/>
          <w:szCs w:val="32"/>
          <w:highlight w:val="none"/>
          <w:lang w:val="en-US" w:eastAsia="zh-CN"/>
        </w:rPr>
        <w:t>八</w:t>
      </w:r>
      <w:r>
        <w:rPr>
          <w:rFonts w:hint="eastAsia" w:ascii="仿宋_GB2312" w:hAnsi="仿宋_GB2312" w:eastAsia="仿宋_GB2312" w:cs="仿宋_GB2312"/>
          <w:color w:val="auto"/>
          <w:sz w:val="32"/>
          <w:szCs w:val="32"/>
          <w:highlight w:val="none"/>
        </w:rPr>
        <w:t>条　承担</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任务的</w:t>
      </w:r>
      <w:r>
        <w:rPr>
          <w:rFonts w:hint="eastAsia" w:ascii="仿宋_GB2312" w:hAnsi="仿宋_GB2312" w:eastAsia="仿宋_GB2312" w:cs="仿宋_GB2312"/>
          <w:color w:val="auto"/>
          <w:sz w:val="32"/>
          <w:szCs w:val="32"/>
          <w:highlight w:val="none"/>
          <w:lang w:val="en-US" w:eastAsia="zh-CN"/>
        </w:rPr>
        <w:t>机构</w:t>
      </w:r>
      <w:r>
        <w:rPr>
          <w:rFonts w:hint="eastAsia" w:ascii="仿宋_GB2312" w:hAnsi="仿宋_GB2312" w:eastAsia="仿宋_GB2312" w:cs="仿宋_GB2312"/>
          <w:color w:val="auto"/>
          <w:sz w:val="32"/>
          <w:szCs w:val="32"/>
          <w:highlight w:val="none"/>
        </w:rPr>
        <w:t>接受任务后，应当制定实施方案，</w:t>
      </w:r>
      <w:r>
        <w:rPr>
          <w:rFonts w:hint="eastAsia" w:ascii="仿宋_GB2312" w:hAnsi="仿宋_GB2312" w:eastAsia="仿宋_GB2312" w:cs="仿宋_GB2312"/>
          <w:color w:val="auto"/>
          <w:sz w:val="32"/>
          <w:szCs w:val="32"/>
          <w:highlight w:val="none"/>
          <w:lang w:val="en-US" w:eastAsia="zh-CN"/>
        </w:rPr>
        <w:t>并</w:t>
      </w:r>
      <w:r>
        <w:rPr>
          <w:rFonts w:hint="eastAsia" w:ascii="仿宋_GB2312" w:hAnsi="仿宋_GB2312" w:eastAsia="仿宋_GB2312" w:cs="仿宋_GB2312"/>
          <w:color w:val="auto"/>
          <w:sz w:val="32"/>
          <w:szCs w:val="32"/>
          <w:highlight w:val="none"/>
        </w:rPr>
        <w:t>报</w:t>
      </w:r>
      <w:r>
        <w:rPr>
          <w:rFonts w:hint="eastAsia" w:ascii="仿宋_GB2312" w:hAnsi="仿宋_GB2312" w:eastAsia="仿宋_GB2312" w:cs="仿宋_GB2312"/>
          <w:color w:val="auto"/>
          <w:sz w:val="32"/>
          <w:szCs w:val="32"/>
          <w:highlight w:val="none"/>
          <w:lang w:val="en-US" w:eastAsia="zh-CN"/>
        </w:rPr>
        <w:t>省农业农村厅同意</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E46C0A" w:themeColor="accent6" w:themeShade="BF"/>
          <w:sz w:val="32"/>
          <w:szCs w:val="32"/>
          <w:highlight w:val="none"/>
        </w:rPr>
      </w:pPr>
      <w:r>
        <w:rPr>
          <w:rFonts w:hint="eastAsia" w:ascii="仿宋_GB2312" w:hAnsi="仿宋_GB2312" w:eastAsia="仿宋_GB2312" w:cs="仿宋_GB2312"/>
          <w:color w:val="auto"/>
          <w:sz w:val="32"/>
          <w:szCs w:val="32"/>
          <w:highlight w:val="none"/>
        </w:rPr>
        <w:t>　　第</w:t>
      </w:r>
      <w:r>
        <w:rPr>
          <w:rFonts w:hint="eastAsia" w:ascii="仿宋_GB2312" w:hAnsi="仿宋_GB2312" w:eastAsia="仿宋_GB2312" w:cs="仿宋_GB2312"/>
          <w:color w:val="auto"/>
          <w:sz w:val="32"/>
          <w:szCs w:val="32"/>
          <w:highlight w:val="none"/>
          <w:lang w:val="en-US" w:eastAsia="zh-CN"/>
        </w:rPr>
        <w:t>九</w:t>
      </w:r>
      <w:r>
        <w:rPr>
          <w:rFonts w:hint="eastAsia" w:ascii="仿宋_GB2312" w:hAnsi="仿宋_GB2312" w:eastAsia="仿宋_GB2312" w:cs="仿宋_GB2312"/>
          <w:color w:val="auto"/>
          <w:sz w:val="32"/>
          <w:szCs w:val="32"/>
          <w:highlight w:val="none"/>
        </w:rPr>
        <w:t>条　实施方案应当包括</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的具体内容、程序、样本数量和分布、技术路线、调查方法和依据标准、调查表格和填写说明、数据统计处理方法、工作分工、参加人员等。</w:t>
      </w:r>
      <w:r>
        <w:rPr>
          <w:rFonts w:hint="eastAsia" w:ascii="仿宋_GB2312" w:hAnsi="仿宋_GB2312" w:eastAsia="仿宋_GB2312" w:cs="仿宋_GB2312"/>
          <w:color w:val="E46C0A" w:themeColor="accent6" w:themeShade="BF"/>
          <w:sz w:val="32"/>
          <w:szCs w:val="32"/>
          <w:highlight w:val="none"/>
        </w:rPr>
        <w:t>　　</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lang w:eastAsia="zh-CN"/>
        </w:rPr>
        <w:t>第三章</w:t>
      </w:r>
      <w:r>
        <w:rPr>
          <w:rFonts w:hint="eastAsia" w:ascii="方正黑体_GBK" w:hAnsi="方正黑体_GBK" w:eastAsia="方正黑体_GBK" w:cs="方正黑体_GBK"/>
          <w:b w:val="0"/>
          <w:bCs w:val="0"/>
          <w:color w:val="auto"/>
          <w:sz w:val="32"/>
          <w:szCs w:val="32"/>
          <w:highlight w:val="none"/>
          <w:lang w:val="en-US" w:eastAsia="zh-CN"/>
        </w:rPr>
        <w:t xml:space="preserve">  </w:t>
      </w:r>
      <w:r>
        <w:rPr>
          <w:rFonts w:hint="eastAsia" w:ascii="方正黑体_GBK" w:hAnsi="方正黑体_GBK" w:eastAsia="方正黑体_GBK" w:cs="方正黑体_GBK"/>
          <w:b w:val="0"/>
          <w:bCs w:val="0"/>
          <w:color w:val="auto"/>
          <w:sz w:val="32"/>
          <w:szCs w:val="32"/>
          <w:highlight w:val="none"/>
          <w:lang w:eastAsia="zh-CN"/>
        </w:rPr>
        <w:t>抽样调查</w:t>
      </w:r>
      <w:r>
        <w:rPr>
          <w:rFonts w:hint="eastAsia" w:ascii="方正黑体_GBK" w:hAnsi="方正黑体_GBK" w:eastAsia="方正黑体_GBK" w:cs="方正黑体_GBK"/>
          <w:b w:val="0"/>
          <w:bCs w:val="0"/>
          <w:color w:val="auto"/>
          <w:sz w:val="32"/>
          <w:szCs w:val="32"/>
          <w:highlight w:val="none"/>
        </w:rPr>
        <w:t>的实施</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第十条　调查承担单位应当对调查人员进行培训，发放当次</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证件。</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第十</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条　进行</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时，调查人员应当向被调查方出示</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任务书和</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证件。</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采取问询查证、发放问卷、现场跟踪、召开座谈会等方式进行。必要时依据国家标准、行业标准、企业标准或者企业质量承诺进行试验检测。</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第十</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条　被调查方应当配合</w:t>
      </w:r>
      <w:r>
        <w:rPr>
          <w:rFonts w:hint="eastAsia" w:ascii="仿宋_GB2312" w:hAnsi="仿宋_GB2312" w:eastAsia="仿宋_GB2312" w:cs="仿宋_GB2312"/>
          <w:color w:val="auto"/>
          <w:sz w:val="32"/>
          <w:szCs w:val="32"/>
          <w:highlight w:val="none"/>
          <w:lang w:eastAsia="zh-CN"/>
        </w:rPr>
        <w:t>抽样调查工作</w:t>
      </w:r>
      <w:r>
        <w:rPr>
          <w:rFonts w:hint="eastAsia" w:ascii="仿宋_GB2312" w:hAnsi="仿宋_GB2312" w:eastAsia="仿宋_GB2312" w:cs="仿宋_GB2312"/>
          <w:color w:val="auto"/>
          <w:sz w:val="32"/>
          <w:szCs w:val="32"/>
          <w:highlight w:val="none"/>
        </w:rPr>
        <w:t>，按照调查要求及时提供有关资料和信息，并对其真实性负责。</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第十</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条　</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结束后，调查承担单位应当按照实施方案要求汇总、处理和分析调查信息，形成调查报告，报送任务下达部门。</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条　调查承担单位和调查人员对调查结果负责，对调查中涉及的商业秘密应当依法保密，不得利用</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 xml:space="preserve">进行有偿活动。 </w:t>
      </w:r>
    </w:p>
    <w:p>
      <w:pPr>
        <w:keepNext w:val="0"/>
        <w:keepLines w:val="0"/>
        <w:pageBreakBefore w:val="0"/>
        <w:kinsoku/>
        <w:wordWrap/>
        <w:overflowPunct/>
        <w:topLinePunct w:val="0"/>
        <w:autoSpaceDE/>
        <w:autoSpaceDN/>
        <w:bidi w:val="0"/>
        <w:adjustRightInd/>
        <w:snapToGrid/>
        <w:spacing w:line="560" w:lineRule="exact"/>
        <w:ind w:firstLine="640"/>
        <w:jc w:val="center"/>
        <w:textAlignment w:val="auto"/>
        <w:rPr>
          <w:rFonts w:hint="eastAsia" w:ascii="仿宋_GB2312" w:hAnsi="仿宋_GB2312" w:eastAsia="仿宋_GB2312" w:cs="仿宋_GB2312"/>
          <w:b/>
          <w:bCs/>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rPr>
        <w:t>第四章　调查结果的</w:t>
      </w:r>
      <w:r>
        <w:rPr>
          <w:rFonts w:hint="eastAsia" w:ascii="方正黑体_GBK" w:hAnsi="方正黑体_GBK" w:eastAsia="方正黑体_GBK" w:cs="方正黑体_GBK"/>
          <w:b w:val="0"/>
          <w:bCs w:val="0"/>
          <w:color w:val="auto"/>
          <w:sz w:val="32"/>
          <w:szCs w:val="32"/>
          <w:highlight w:val="none"/>
          <w:lang w:val="en-US" w:eastAsia="zh-CN"/>
        </w:rPr>
        <w:t>应用</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条　</w:t>
      </w:r>
      <w:r>
        <w:rPr>
          <w:rFonts w:hint="eastAsia" w:ascii="仿宋_GB2312" w:hAnsi="仿宋_GB2312" w:eastAsia="仿宋_GB2312" w:cs="仿宋_GB2312"/>
          <w:color w:val="auto"/>
          <w:sz w:val="32"/>
          <w:szCs w:val="32"/>
          <w:highlight w:val="none"/>
          <w:lang w:val="en-US" w:eastAsia="zh-CN"/>
        </w:rPr>
        <w:t>省农业农村厅组织专家对调查结果进行研究，</w:t>
      </w:r>
      <w:r>
        <w:rPr>
          <w:rFonts w:hint="eastAsia" w:ascii="仿宋_GB2312" w:hAnsi="仿宋_GB2312" w:eastAsia="仿宋_GB2312" w:cs="仿宋_GB2312"/>
          <w:color w:val="auto"/>
          <w:sz w:val="32"/>
          <w:szCs w:val="32"/>
          <w:highlight w:val="none"/>
          <w:lang w:eastAsia="zh-CN"/>
        </w:rPr>
        <w:t>确定调查产品是否继续纳入“优机”范围</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第十</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条　</w:t>
      </w:r>
      <w:r>
        <w:rPr>
          <w:rFonts w:hint="eastAsia" w:ascii="仿宋_GB2312" w:hAnsi="仿宋_GB2312" w:eastAsia="仿宋_GB2312" w:cs="仿宋_GB2312"/>
          <w:color w:val="auto"/>
          <w:sz w:val="32"/>
          <w:szCs w:val="32"/>
          <w:highlight w:val="none"/>
          <w:lang w:val="en-US" w:eastAsia="zh-CN"/>
        </w:rPr>
        <w:t>对决定退出</w:t>
      </w:r>
      <w:r>
        <w:rPr>
          <w:rFonts w:hint="eastAsia" w:ascii="仿宋_GB2312" w:hAnsi="仿宋_GB2312" w:eastAsia="仿宋_GB2312" w:cs="仿宋_GB2312"/>
          <w:color w:val="auto"/>
          <w:sz w:val="32"/>
          <w:szCs w:val="32"/>
          <w:highlight w:val="none"/>
          <w:lang w:eastAsia="zh-CN"/>
        </w:rPr>
        <w:t>“优机”范围</w:t>
      </w:r>
      <w:r>
        <w:rPr>
          <w:rFonts w:hint="eastAsia" w:ascii="仿宋_GB2312" w:hAnsi="仿宋_GB2312" w:eastAsia="仿宋_GB2312" w:cs="仿宋_GB2312"/>
          <w:color w:val="auto"/>
          <w:sz w:val="32"/>
          <w:szCs w:val="32"/>
          <w:highlight w:val="none"/>
          <w:lang w:val="en-US" w:eastAsia="zh-CN"/>
        </w:rPr>
        <w:t>的，应当组织约谈通报企业，</w:t>
      </w:r>
      <w:r>
        <w:rPr>
          <w:rFonts w:hint="eastAsia" w:ascii="仿宋_GB2312" w:hAnsi="仿宋_GB2312" w:eastAsia="仿宋_GB2312" w:cs="仿宋_GB2312"/>
          <w:color w:val="auto"/>
          <w:sz w:val="32"/>
          <w:szCs w:val="32"/>
          <w:highlight w:val="none"/>
        </w:rPr>
        <w:t>企业有异议的，应当在收到通</w:t>
      </w:r>
      <w:r>
        <w:rPr>
          <w:rFonts w:hint="eastAsia" w:ascii="仿宋_GB2312" w:hAnsi="仿宋_GB2312" w:eastAsia="仿宋_GB2312" w:cs="仿宋_GB2312"/>
          <w:color w:val="auto"/>
          <w:sz w:val="32"/>
          <w:szCs w:val="32"/>
          <w:highlight w:val="none"/>
          <w:lang w:eastAsia="zh-CN"/>
        </w:rPr>
        <w:t>报</w:t>
      </w:r>
      <w:r>
        <w:rPr>
          <w:rFonts w:hint="eastAsia" w:ascii="仿宋_GB2312" w:hAnsi="仿宋_GB2312" w:eastAsia="仿宋_GB2312" w:cs="仿宋_GB2312"/>
          <w:color w:val="auto"/>
          <w:sz w:val="32"/>
          <w:szCs w:val="32"/>
          <w:highlight w:val="none"/>
        </w:rPr>
        <w:t>后15个工作日内书面提出；逾期未提出的，视为无异议。</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E46C0A" w:themeColor="accent6" w:themeShade="BF"/>
          <w:sz w:val="32"/>
          <w:szCs w:val="32"/>
          <w:highlight w:val="none"/>
        </w:rPr>
      </w:pPr>
      <w:r>
        <w:rPr>
          <w:rFonts w:hint="eastAsia" w:ascii="仿宋_GB2312" w:hAnsi="仿宋_GB2312" w:eastAsia="仿宋_GB2312" w:cs="仿宋_GB2312"/>
          <w:color w:val="E46C0A" w:themeColor="accent6" w:themeShade="BF"/>
          <w:sz w:val="32"/>
          <w:szCs w:val="32"/>
          <w:highlight w:val="none"/>
        </w:rPr>
        <w:t>　　</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lang w:eastAsia="zh-CN"/>
        </w:rPr>
        <w:t>第五章</w:t>
      </w:r>
      <w:r>
        <w:rPr>
          <w:rFonts w:hint="eastAsia" w:ascii="方正黑体_GBK" w:hAnsi="方正黑体_GBK" w:eastAsia="方正黑体_GBK" w:cs="方正黑体_GBK"/>
          <w:b w:val="0"/>
          <w:bCs w:val="0"/>
          <w:color w:val="auto"/>
          <w:sz w:val="32"/>
          <w:szCs w:val="32"/>
          <w:highlight w:val="none"/>
          <w:lang w:val="en-US" w:eastAsia="zh-CN"/>
        </w:rPr>
        <w:t xml:space="preserve">  </w:t>
      </w:r>
      <w:r>
        <w:rPr>
          <w:rFonts w:hint="eastAsia" w:ascii="方正黑体_GBK" w:hAnsi="方正黑体_GBK" w:eastAsia="方正黑体_GBK" w:cs="方正黑体_GBK"/>
          <w:b w:val="0"/>
          <w:bCs w:val="0"/>
          <w:color w:val="auto"/>
          <w:sz w:val="32"/>
          <w:szCs w:val="32"/>
          <w:highlight w:val="none"/>
        </w:rPr>
        <w:t>罚则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第十</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条　调查承担单位和人员有下列情形之一的，责令改正，对单位负责人和其他直接责任人员，依法给予处分；情节严重的，取消调查承担单位或者个人的</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资格：</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（一）不按规定进行调查、伪造调查结果、瞒报或者出具虚假证明的；</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（二）利用</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从事有偿活动的；</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（三）擅自透露</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相关信息造成不良后果的；</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E46C0A" w:themeColor="accent6" w:themeShade="BF"/>
          <w:sz w:val="32"/>
          <w:szCs w:val="32"/>
          <w:highlight w:val="none"/>
        </w:rPr>
        <w:t>　</w:t>
      </w:r>
      <w:r>
        <w:rPr>
          <w:rFonts w:hint="eastAsia" w:ascii="仿宋_GB2312" w:hAnsi="仿宋_GB2312" w:eastAsia="仿宋_GB2312" w:cs="仿宋_GB2312"/>
          <w:color w:val="auto"/>
          <w:sz w:val="32"/>
          <w:szCs w:val="32"/>
          <w:highlight w:val="none"/>
        </w:rPr>
        <w:t>　（四）有其他徇私舞弊、滥用职权、玩忽职守行为的。</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调查承担单位和个人利用</w:t>
      </w:r>
      <w:r>
        <w:rPr>
          <w:rFonts w:hint="eastAsia" w:ascii="仿宋_GB2312" w:hAnsi="仿宋_GB2312" w:eastAsia="仿宋_GB2312" w:cs="仿宋_GB2312"/>
          <w:color w:val="auto"/>
          <w:sz w:val="32"/>
          <w:szCs w:val="32"/>
          <w:highlight w:val="none"/>
          <w:lang w:eastAsia="zh-CN"/>
        </w:rPr>
        <w:t>抽样调查</w:t>
      </w:r>
      <w:r>
        <w:rPr>
          <w:rFonts w:hint="eastAsia" w:ascii="仿宋_GB2312" w:hAnsi="仿宋_GB2312" w:eastAsia="仿宋_GB2312" w:cs="仿宋_GB2312"/>
          <w:color w:val="auto"/>
          <w:sz w:val="32"/>
          <w:szCs w:val="32"/>
          <w:highlight w:val="none"/>
        </w:rPr>
        <w:t>获取违法所得的，予以追缴。</w:t>
      </w:r>
    </w:p>
    <w:p>
      <w:pPr>
        <w:keepNext w:val="0"/>
        <w:keepLines w:val="0"/>
        <w:pageBreakBefore w:val="0"/>
        <w:numPr>
          <w:ilvl w:val="0"/>
          <w:numId w:val="4"/>
        </w:numPr>
        <w:kinsoku/>
        <w:wordWrap/>
        <w:overflowPunct/>
        <w:topLinePunct w:val="0"/>
        <w:autoSpaceDE/>
        <w:autoSpaceDN/>
        <w:bidi w:val="0"/>
        <w:adjustRightInd/>
        <w:snapToGrid/>
        <w:spacing w:line="560" w:lineRule="exact"/>
        <w:ind w:left="640" w:leftChars="0" w:firstLine="0" w:firstLineChars="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被调查的企业和个人虚报、瞒报、伪造、篡改有</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关资料，或者拒不配合调查工作的，由</w:t>
      </w:r>
      <w:r>
        <w:rPr>
          <w:rFonts w:hint="eastAsia" w:ascii="仿宋_GB2312" w:hAnsi="仿宋_GB2312" w:eastAsia="仿宋_GB2312" w:cs="仿宋_GB2312"/>
          <w:color w:val="auto"/>
          <w:sz w:val="32"/>
          <w:szCs w:val="32"/>
          <w:highlight w:val="none"/>
          <w:lang w:eastAsia="zh-CN"/>
        </w:rPr>
        <w:t>省级</w:t>
      </w:r>
      <w:r>
        <w:rPr>
          <w:rFonts w:hint="eastAsia" w:ascii="仿宋_GB2312" w:hAnsi="仿宋_GB2312" w:eastAsia="仿宋_GB2312" w:cs="仿宋_GB2312"/>
          <w:color w:val="auto"/>
          <w:sz w:val="32"/>
          <w:szCs w:val="32"/>
          <w:highlight w:val="none"/>
        </w:rPr>
        <w:t>农业机械化行政主管部门责令改正</w:t>
      </w:r>
      <w:r>
        <w:rPr>
          <w:rFonts w:hint="eastAsia" w:ascii="仿宋_GB2312" w:hAnsi="仿宋_GB2312" w:eastAsia="仿宋_GB2312" w:cs="仿宋_GB2312"/>
          <w:color w:val="auto"/>
          <w:sz w:val="32"/>
          <w:szCs w:val="32"/>
          <w:highlight w:val="none"/>
          <w:lang w:eastAsia="zh-CN"/>
        </w:rPr>
        <w:t>，撤销“优机”资格</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方正黑体_GBK" w:hAnsi="方正黑体_GBK" w:eastAsia="方正黑体_GBK" w:cs="方正黑体_GBK"/>
          <w:color w:val="auto"/>
          <w:sz w:val="32"/>
          <w:szCs w:val="32"/>
          <w:highlight w:val="none"/>
          <w:lang w:val="en-US" w:eastAsia="zh-CN"/>
        </w:rPr>
      </w:pPr>
    </w:p>
    <w:sectPr>
      <w:pgSz w:w="11906" w:h="16838"/>
      <w:pgMar w:top="2098" w:right="1474" w:bottom="1984" w:left="1587"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swiss"/>
    <w:pitch w:val="default"/>
    <w:sig w:usb0="80000287" w:usb1="280F3C52" w:usb2="00000016" w:usb3="00000000" w:csb0="0004001F" w:csb1="00000000"/>
  </w:font>
  <w:font w:name="AdobeSongStd-Light">
    <w:altName w:val="仿宋_GB2312"/>
    <w:panose1 w:val="00000000000000000000"/>
    <w:charset w:val="00"/>
    <w:family w:val="auto"/>
    <w:pitch w:val="default"/>
    <w:sig w:usb0="00000000" w:usb1="00000000" w:usb2="00000016" w:usb3="00000000" w:csb0="00060007" w:csb1="00000000"/>
  </w:font>
  <w:font w:name="方正小标宋_GBK">
    <w:altName w:val="微软雅黑"/>
    <w:panose1 w:val="02000000000000000000"/>
    <w:charset w:val="86"/>
    <w:family w:val="script"/>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仿宋">
    <w:panose1 w:val="02010609060101010101"/>
    <w:charset w:val="86"/>
    <w:family w:val="modern"/>
    <w:pitch w:val="default"/>
    <w:sig w:usb0="800002BF" w:usb1="38CF7CFA" w:usb2="00000016" w:usb3="00000000" w:csb0="00040001" w:csb1="00000000"/>
  </w:font>
  <w:font w:name="CESI小标宋-GB13000">
    <w:altName w:val="宋体"/>
    <w:panose1 w:val="02000500000000000000"/>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5</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5</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58" w:firstLineChars="128"/>
      <w:rPr>
        <w:rFonts w:ascii="Times New Roman" w:hAnsi="Times New Roman"/>
        <w:sz w:val="28"/>
        <w:szCs w:val="28"/>
      </w:rPr>
    </w:pPr>
    <w:r>
      <w:rPr>
        <w:sz w:val="2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9"/>
                      <w:rPr>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8CF95F"/>
    <w:multiLevelType w:val="singleLevel"/>
    <w:tmpl w:val="B38CF95F"/>
    <w:lvl w:ilvl="0" w:tentative="0">
      <w:start w:val="1"/>
      <w:numFmt w:val="chineseCounting"/>
      <w:suff w:val="nothing"/>
      <w:lvlText w:val="（%1）"/>
      <w:lvlJc w:val="left"/>
      <w:rPr>
        <w:rFonts w:hint="eastAsia"/>
      </w:rPr>
    </w:lvl>
  </w:abstractNum>
  <w:abstractNum w:abstractNumId="1">
    <w:nsid w:val="F350444E"/>
    <w:multiLevelType w:val="singleLevel"/>
    <w:tmpl w:val="F350444E"/>
    <w:lvl w:ilvl="0" w:tentative="0">
      <w:start w:val="5"/>
      <w:numFmt w:val="chineseCounting"/>
      <w:suff w:val="space"/>
      <w:lvlText w:val="第%1条"/>
      <w:lvlJc w:val="left"/>
      <w:rPr>
        <w:rFonts w:hint="eastAsia"/>
      </w:rPr>
    </w:lvl>
  </w:abstractNum>
  <w:abstractNum w:abstractNumId="2">
    <w:nsid w:val="F7737689"/>
    <w:multiLevelType w:val="singleLevel"/>
    <w:tmpl w:val="F7737689"/>
    <w:lvl w:ilvl="0" w:tentative="0">
      <w:start w:val="3"/>
      <w:numFmt w:val="chineseCounting"/>
      <w:suff w:val="nothing"/>
      <w:lvlText w:val="%1、"/>
      <w:lvlJc w:val="left"/>
      <w:rPr>
        <w:rFonts w:hint="eastAsia"/>
      </w:rPr>
    </w:lvl>
  </w:abstractNum>
  <w:abstractNum w:abstractNumId="3">
    <w:nsid w:val="FEEF2840"/>
    <w:multiLevelType w:val="singleLevel"/>
    <w:tmpl w:val="FEEF2840"/>
    <w:lvl w:ilvl="0" w:tentative="0">
      <w:start w:val="18"/>
      <w:numFmt w:val="chineseCounting"/>
      <w:suff w:val="nothing"/>
      <w:lvlText w:val="第%1条　"/>
      <w:lvlJc w:val="left"/>
      <w:pPr>
        <w:ind w:left="640" w:leftChars="0" w:firstLine="0" w:firstLineChars="0"/>
      </w:pPr>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NotTrackMoves/>
  <w:documentProtection w:enforcement="0"/>
  <w:defaultTabStop w:val="420"/>
  <w:evenAndOddHeaders w:val="1"/>
  <w:drawingGridHorizontalSpacing w:val="102"/>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OTU2NmJhYTc2NGRhZWRmYzZiZTVhMDEyYzIwZGUifQ=="/>
  </w:docVars>
  <w:rsids>
    <w:rsidRoot w:val="004C3454"/>
    <w:rsid w:val="00042BCA"/>
    <w:rsid w:val="00074D31"/>
    <w:rsid w:val="00086E21"/>
    <w:rsid w:val="00114472"/>
    <w:rsid w:val="00171A3F"/>
    <w:rsid w:val="001C372A"/>
    <w:rsid w:val="00231E86"/>
    <w:rsid w:val="00241566"/>
    <w:rsid w:val="00243F50"/>
    <w:rsid w:val="002C735D"/>
    <w:rsid w:val="002E020C"/>
    <w:rsid w:val="00307DD9"/>
    <w:rsid w:val="003230CD"/>
    <w:rsid w:val="004432C8"/>
    <w:rsid w:val="0046782F"/>
    <w:rsid w:val="004A06C4"/>
    <w:rsid w:val="004A2E2B"/>
    <w:rsid w:val="004C3454"/>
    <w:rsid w:val="004F4DD0"/>
    <w:rsid w:val="005110DC"/>
    <w:rsid w:val="00514BBB"/>
    <w:rsid w:val="00553455"/>
    <w:rsid w:val="005B1387"/>
    <w:rsid w:val="00691CF0"/>
    <w:rsid w:val="006C56A3"/>
    <w:rsid w:val="006D3DCC"/>
    <w:rsid w:val="006E29B1"/>
    <w:rsid w:val="00721225"/>
    <w:rsid w:val="00726EC7"/>
    <w:rsid w:val="00743F73"/>
    <w:rsid w:val="00785275"/>
    <w:rsid w:val="00797F7E"/>
    <w:rsid w:val="007A3AE6"/>
    <w:rsid w:val="007D1EAA"/>
    <w:rsid w:val="007D1F4A"/>
    <w:rsid w:val="007D54E7"/>
    <w:rsid w:val="007E5576"/>
    <w:rsid w:val="007F59D0"/>
    <w:rsid w:val="00825E12"/>
    <w:rsid w:val="00832B97"/>
    <w:rsid w:val="00833C53"/>
    <w:rsid w:val="008715DF"/>
    <w:rsid w:val="00880E35"/>
    <w:rsid w:val="00890DDD"/>
    <w:rsid w:val="00896FBC"/>
    <w:rsid w:val="008A40C5"/>
    <w:rsid w:val="008B0861"/>
    <w:rsid w:val="008C0F7D"/>
    <w:rsid w:val="008C7254"/>
    <w:rsid w:val="008E0FD8"/>
    <w:rsid w:val="008F020B"/>
    <w:rsid w:val="00910C90"/>
    <w:rsid w:val="00994AD1"/>
    <w:rsid w:val="009B4080"/>
    <w:rsid w:val="009C48CF"/>
    <w:rsid w:val="00A02A80"/>
    <w:rsid w:val="00A13A48"/>
    <w:rsid w:val="00A66121"/>
    <w:rsid w:val="00A6732E"/>
    <w:rsid w:val="00A75740"/>
    <w:rsid w:val="00AB26CD"/>
    <w:rsid w:val="00AC3819"/>
    <w:rsid w:val="00AF193E"/>
    <w:rsid w:val="00B00CAC"/>
    <w:rsid w:val="00B06B25"/>
    <w:rsid w:val="00B159C5"/>
    <w:rsid w:val="00BB549C"/>
    <w:rsid w:val="00BD2818"/>
    <w:rsid w:val="00BD47AD"/>
    <w:rsid w:val="00BE4AE0"/>
    <w:rsid w:val="00C03FDF"/>
    <w:rsid w:val="00C15CC0"/>
    <w:rsid w:val="00C628FA"/>
    <w:rsid w:val="00D17F9E"/>
    <w:rsid w:val="00D869AB"/>
    <w:rsid w:val="00DA07C5"/>
    <w:rsid w:val="00DD405E"/>
    <w:rsid w:val="00DD4104"/>
    <w:rsid w:val="00DF4952"/>
    <w:rsid w:val="00E03849"/>
    <w:rsid w:val="00E1603F"/>
    <w:rsid w:val="00E47AA3"/>
    <w:rsid w:val="00E6150A"/>
    <w:rsid w:val="00E674C3"/>
    <w:rsid w:val="00E77018"/>
    <w:rsid w:val="00E829E4"/>
    <w:rsid w:val="00EB4964"/>
    <w:rsid w:val="00EC1251"/>
    <w:rsid w:val="00ED49AB"/>
    <w:rsid w:val="00EF5BD7"/>
    <w:rsid w:val="00F242DF"/>
    <w:rsid w:val="00F3164C"/>
    <w:rsid w:val="00F44F5B"/>
    <w:rsid w:val="00F51965"/>
    <w:rsid w:val="00F51F67"/>
    <w:rsid w:val="00F63454"/>
    <w:rsid w:val="00F9051B"/>
    <w:rsid w:val="00F9334E"/>
    <w:rsid w:val="00FD2485"/>
    <w:rsid w:val="00FE5C4E"/>
    <w:rsid w:val="01193C7F"/>
    <w:rsid w:val="016117BB"/>
    <w:rsid w:val="016D0614"/>
    <w:rsid w:val="01853E11"/>
    <w:rsid w:val="01C13AEF"/>
    <w:rsid w:val="037D4B66"/>
    <w:rsid w:val="0385634A"/>
    <w:rsid w:val="03885A03"/>
    <w:rsid w:val="03B31109"/>
    <w:rsid w:val="03E41274"/>
    <w:rsid w:val="03F1578E"/>
    <w:rsid w:val="044A382E"/>
    <w:rsid w:val="048760F2"/>
    <w:rsid w:val="05963327"/>
    <w:rsid w:val="06CB2879"/>
    <w:rsid w:val="09C939BE"/>
    <w:rsid w:val="0A061CE0"/>
    <w:rsid w:val="0A1C37AE"/>
    <w:rsid w:val="0A690774"/>
    <w:rsid w:val="0B173867"/>
    <w:rsid w:val="0B2B2FF6"/>
    <w:rsid w:val="0B487090"/>
    <w:rsid w:val="0B922CD8"/>
    <w:rsid w:val="0BE63743"/>
    <w:rsid w:val="0D6A2C34"/>
    <w:rsid w:val="0DBA6861"/>
    <w:rsid w:val="0DCB599D"/>
    <w:rsid w:val="0E2271A6"/>
    <w:rsid w:val="0E4036B0"/>
    <w:rsid w:val="0E883192"/>
    <w:rsid w:val="0E8C44EE"/>
    <w:rsid w:val="0F296723"/>
    <w:rsid w:val="0F583791"/>
    <w:rsid w:val="0FD674E4"/>
    <w:rsid w:val="0FFA1B84"/>
    <w:rsid w:val="11B54C60"/>
    <w:rsid w:val="11D2213D"/>
    <w:rsid w:val="12031CE6"/>
    <w:rsid w:val="129110AE"/>
    <w:rsid w:val="1294166E"/>
    <w:rsid w:val="14AD2434"/>
    <w:rsid w:val="15202755"/>
    <w:rsid w:val="157023C5"/>
    <w:rsid w:val="157FEE94"/>
    <w:rsid w:val="16367CEE"/>
    <w:rsid w:val="16DA69E2"/>
    <w:rsid w:val="16E90F9E"/>
    <w:rsid w:val="175A223B"/>
    <w:rsid w:val="17A11344"/>
    <w:rsid w:val="18866935"/>
    <w:rsid w:val="18C13958"/>
    <w:rsid w:val="18D314AE"/>
    <w:rsid w:val="18F01D6C"/>
    <w:rsid w:val="19972190"/>
    <w:rsid w:val="1A985E70"/>
    <w:rsid w:val="1DC646EF"/>
    <w:rsid w:val="1E152D05"/>
    <w:rsid w:val="1E8A696A"/>
    <w:rsid w:val="1FDFD7E3"/>
    <w:rsid w:val="1FFD42BA"/>
    <w:rsid w:val="210B6CBD"/>
    <w:rsid w:val="21870C81"/>
    <w:rsid w:val="21E21A84"/>
    <w:rsid w:val="2380649D"/>
    <w:rsid w:val="23F32AE7"/>
    <w:rsid w:val="247E6772"/>
    <w:rsid w:val="24BC729A"/>
    <w:rsid w:val="250B46C4"/>
    <w:rsid w:val="2653228F"/>
    <w:rsid w:val="26A9651C"/>
    <w:rsid w:val="27092BEC"/>
    <w:rsid w:val="27467C37"/>
    <w:rsid w:val="2891744C"/>
    <w:rsid w:val="28FA0399"/>
    <w:rsid w:val="296E14AB"/>
    <w:rsid w:val="2A982ABD"/>
    <w:rsid w:val="2B2A439A"/>
    <w:rsid w:val="2BCF5454"/>
    <w:rsid w:val="2C774D31"/>
    <w:rsid w:val="2D8E7872"/>
    <w:rsid w:val="2E464F86"/>
    <w:rsid w:val="2E7C01C6"/>
    <w:rsid w:val="2FF89E6A"/>
    <w:rsid w:val="30115411"/>
    <w:rsid w:val="311945EC"/>
    <w:rsid w:val="31C23E81"/>
    <w:rsid w:val="326B1D5A"/>
    <w:rsid w:val="32F928A2"/>
    <w:rsid w:val="3301709D"/>
    <w:rsid w:val="332941BF"/>
    <w:rsid w:val="34780442"/>
    <w:rsid w:val="34F1486A"/>
    <w:rsid w:val="35015623"/>
    <w:rsid w:val="35E454E0"/>
    <w:rsid w:val="363AA7B3"/>
    <w:rsid w:val="377DFEFF"/>
    <w:rsid w:val="37B21027"/>
    <w:rsid w:val="37E4412B"/>
    <w:rsid w:val="38953CE0"/>
    <w:rsid w:val="39070D75"/>
    <w:rsid w:val="3A310C66"/>
    <w:rsid w:val="3AC30F26"/>
    <w:rsid w:val="3B4754FA"/>
    <w:rsid w:val="3BD258C9"/>
    <w:rsid w:val="3BFD8D99"/>
    <w:rsid w:val="3CED995F"/>
    <w:rsid w:val="3E737B76"/>
    <w:rsid w:val="3EE7F861"/>
    <w:rsid w:val="3EF50744"/>
    <w:rsid w:val="3EFF682D"/>
    <w:rsid w:val="3F1C6D1A"/>
    <w:rsid w:val="3F542A99"/>
    <w:rsid w:val="3F87A5D0"/>
    <w:rsid w:val="3FC66322"/>
    <w:rsid w:val="3FDA2F9E"/>
    <w:rsid w:val="3FDC16CE"/>
    <w:rsid w:val="3FEDDEC8"/>
    <w:rsid w:val="401F6C03"/>
    <w:rsid w:val="403B2963"/>
    <w:rsid w:val="413F04A4"/>
    <w:rsid w:val="41484083"/>
    <w:rsid w:val="415B0387"/>
    <w:rsid w:val="419845EF"/>
    <w:rsid w:val="41DA07DE"/>
    <w:rsid w:val="42431698"/>
    <w:rsid w:val="437047DC"/>
    <w:rsid w:val="441F5424"/>
    <w:rsid w:val="44A42466"/>
    <w:rsid w:val="462E0585"/>
    <w:rsid w:val="46BF7458"/>
    <w:rsid w:val="487A791A"/>
    <w:rsid w:val="48D93942"/>
    <w:rsid w:val="48F13107"/>
    <w:rsid w:val="490709EE"/>
    <w:rsid w:val="49830203"/>
    <w:rsid w:val="499B42CB"/>
    <w:rsid w:val="49DB70D7"/>
    <w:rsid w:val="4A515603"/>
    <w:rsid w:val="4A6E6F5E"/>
    <w:rsid w:val="4B172108"/>
    <w:rsid w:val="4B193F45"/>
    <w:rsid w:val="4B6E6C91"/>
    <w:rsid w:val="4B953712"/>
    <w:rsid w:val="4BE91E5D"/>
    <w:rsid w:val="4BEB4CB9"/>
    <w:rsid w:val="4CBA5F8F"/>
    <w:rsid w:val="4D1607C8"/>
    <w:rsid w:val="4D551EB6"/>
    <w:rsid w:val="4DBF1FBD"/>
    <w:rsid w:val="4DEBCB55"/>
    <w:rsid w:val="4EB237AC"/>
    <w:rsid w:val="4F6F5BF1"/>
    <w:rsid w:val="4F9F0D35"/>
    <w:rsid w:val="4FFC695F"/>
    <w:rsid w:val="508959EB"/>
    <w:rsid w:val="50B44E70"/>
    <w:rsid w:val="5122294C"/>
    <w:rsid w:val="51C4760A"/>
    <w:rsid w:val="531C42C6"/>
    <w:rsid w:val="531F97FA"/>
    <w:rsid w:val="53D64356"/>
    <w:rsid w:val="5449421F"/>
    <w:rsid w:val="544C68E0"/>
    <w:rsid w:val="5466376A"/>
    <w:rsid w:val="54743AAD"/>
    <w:rsid w:val="54CB3F7B"/>
    <w:rsid w:val="557C7A5B"/>
    <w:rsid w:val="55D610C7"/>
    <w:rsid w:val="565A3015"/>
    <w:rsid w:val="566D67D2"/>
    <w:rsid w:val="56F602A2"/>
    <w:rsid w:val="57D96C13"/>
    <w:rsid w:val="583E568A"/>
    <w:rsid w:val="58B35DAB"/>
    <w:rsid w:val="591C1ADA"/>
    <w:rsid w:val="5952374E"/>
    <w:rsid w:val="596A21BB"/>
    <w:rsid w:val="599835C9"/>
    <w:rsid w:val="5A823921"/>
    <w:rsid w:val="5B4200A5"/>
    <w:rsid w:val="5C44737A"/>
    <w:rsid w:val="5C7F0CFE"/>
    <w:rsid w:val="5CA57785"/>
    <w:rsid w:val="5CBFF2E2"/>
    <w:rsid w:val="5CFE502C"/>
    <w:rsid w:val="5D7A2FF3"/>
    <w:rsid w:val="5DAC11A9"/>
    <w:rsid w:val="5DBFB920"/>
    <w:rsid w:val="5E134942"/>
    <w:rsid w:val="5E3F4439"/>
    <w:rsid w:val="5EDFC2AB"/>
    <w:rsid w:val="5F090D52"/>
    <w:rsid w:val="5F6E1B62"/>
    <w:rsid w:val="5F7E2E99"/>
    <w:rsid w:val="5F7F577B"/>
    <w:rsid w:val="5FDEA321"/>
    <w:rsid w:val="5FFECDC4"/>
    <w:rsid w:val="60C17E57"/>
    <w:rsid w:val="6107307C"/>
    <w:rsid w:val="62B2525D"/>
    <w:rsid w:val="62EB1005"/>
    <w:rsid w:val="632F22AF"/>
    <w:rsid w:val="63DF3E1D"/>
    <w:rsid w:val="6461518D"/>
    <w:rsid w:val="66132437"/>
    <w:rsid w:val="66243881"/>
    <w:rsid w:val="665D47C8"/>
    <w:rsid w:val="66C51E92"/>
    <w:rsid w:val="672C1E42"/>
    <w:rsid w:val="67FF59C5"/>
    <w:rsid w:val="6817003C"/>
    <w:rsid w:val="683E6787"/>
    <w:rsid w:val="691E3D97"/>
    <w:rsid w:val="699EEC26"/>
    <w:rsid w:val="69E20988"/>
    <w:rsid w:val="6A176007"/>
    <w:rsid w:val="6A6F7EB5"/>
    <w:rsid w:val="6AC37908"/>
    <w:rsid w:val="6AF7D88B"/>
    <w:rsid w:val="6B5512B1"/>
    <w:rsid w:val="6C337AF8"/>
    <w:rsid w:val="6C63121A"/>
    <w:rsid w:val="6D6F0157"/>
    <w:rsid w:val="6D764F7B"/>
    <w:rsid w:val="6D7F8BE2"/>
    <w:rsid w:val="6D906045"/>
    <w:rsid w:val="6DD137A9"/>
    <w:rsid w:val="6EC75EF2"/>
    <w:rsid w:val="6ED727FB"/>
    <w:rsid w:val="6EF7704C"/>
    <w:rsid w:val="6EFFD806"/>
    <w:rsid w:val="6F17402A"/>
    <w:rsid w:val="6F64403E"/>
    <w:rsid w:val="6F77B967"/>
    <w:rsid w:val="6F7F0AD0"/>
    <w:rsid w:val="6F9B63EA"/>
    <w:rsid w:val="6FD53047"/>
    <w:rsid w:val="6FF64D1D"/>
    <w:rsid w:val="71175551"/>
    <w:rsid w:val="716A38D3"/>
    <w:rsid w:val="71836742"/>
    <w:rsid w:val="71EF9ECD"/>
    <w:rsid w:val="722D62E3"/>
    <w:rsid w:val="725F1790"/>
    <w:rsid w:val="72C24699"/>
    <w:rsid w:val="72CD3EBC"/>
    <w:rsid w:val="730D7B4F"/>
    <w:rsid w:val="73A26074"/>
    <w:rsid w:val="7423420D"/>
    <w:rsid w:val="74532028"/>
    <w:rsid w:val="74582108"/>
    <w:rsid w:val="746759E7"/>
    <w:rsid w:val="74FE032D"/>
    <w:rsid w:val="75062310"/>
    <w:rsid w:val="751853F4"/>
    <w:rsid w:val="75E001CA"/>
    <w:rsid w:val="75FF8F83"/>
    <w:rsid w:val="769D2224"/>
    <w:rsid w:val="76FF76D4"/>
    <w:rsid w:val="7759318C"/>
    <w:rsid w:val="77B70EF4"/>
    <w:rsid w:val="77BF2847"/>
    <w:rsid w:val="77CB137E"/>
    <w:rsid w:val="77E7A9CE"/>
    <w:rsid w:val="781360AB"/>
    <w:rsid w:val="781520BE"/>
    <w:rsid w:val="78F71F07"/>
    <w:rsid w:val="79FB4FD2"/>
    <w:rsid w:val="7A291E51"/>
    <w:rsid w:val="7A7F0526"/>
    <w:rsid w:val="7AB756C3"/>
    <w:rsid w:val="7AFDD04C"/>
    <w:rsid w:val="7AFFC726"/>
    <w:rsid w:val="7B33A78C"/>
    <w:rsid w:val="7B5DD41A"/>
    <w:rsid w:val="7B602284"/>
    <w:rsid w:val="7B6F1AE6"/>
    <w:rsid w:val="7BBF9F12"/>
    <w:rsid w:val="7C3055BE"/>
    <w:rsid w:val="7CE714FE"/>
    <w:rsid w:val="7D0B7C91"/>
    <w:rsid w:val="7D1F92CC"/>
    <w:rsid w:val="7D27BAF4"/>
    <w:rsid w:val="7D6873BE"/>
    <w:rsid w:val="7DBF3F84"/>
    <w:rsid w:val="7DCE4F32"/>
    <w:rsid w:val="7DEF32A5"/>
    <w:rsid w:val="7DFD5B0D"/>
    <w:rsid w:val="7DFF1AA3"/>
    <w:rsid w:val="7E8C7610"/>
    <w:rsid w:val="7E9F2D49"/>
    <w:rsid w:val="7F27FAA4"/>
    <w:rsid w:val="7F3DAA95"/>
    <w:rsid w:val="7F554B60"/>
    <w:rsid w:val="7F5B5C0F"/>
    <w:rsid w:val="7F970901"/>
    <w:rsid w:val="7FBB5311"/>
    <w:rsid w:val="7FBF4ED7"/>
    <w:rsid w:val="7FBF87EA"/>
    <w:rsid w:val="7FDB2331"/>
    <w:rsid w:val="7FDEB8A7"/>
    <w:rsid w:val="7FEF3709"/>
    <w:rsid w:val="7FFC5175"/>
    <w:rsid w:val="7FFC5E8E"/>
    <w:rsid w:val="8E6F7AFA"/>
    <w:rsid w:val="8FF720BB"/>
    <w:rsid w:val="91AFBC81"/>
    <w:rsid w:val="92FB0E2F"/>
    <w:rsid w:val="9B7AC37B"/>
    <w:rsid w:val="9BFFEAF2"/>
    <w:rsid w:val="9DAF005B"/>
    <w:rsid w:val="A9FF06C4"/>
    <w:rsid w:val="B2EB9CF4"/>
    <w:rsid w:val="B47095A1"/>
    <w:rsid w:val="B4DF05E4"/>
    <w:rsid w:val="B7FFBB8D"/>
    <w:rsid w:val="B9BA713F"/>
    <w:rsid w:val="BABFA3BE"/>
    <w:rsid w:val="BBDD5BB4"/>
    <w:rsid w:val="BC778A57"/>
    <w:rsid w:val="BD5BD222"/>
    <w:rsid w:val="BDFE2FBB"/>
    <w:rsid w:val="BE7A6518"/>
    <w:rsid w:val="BEE9C357"/>
    <w:rsid w:val="BFB3699E"/>
    <w:rsid w:val="C39F0873"/>
    <w:rsid w:val="CB7F8D4B"/>
    <w:rsid w:val="CDE502C0"/>
    <w:rsid w:val="CEF5F235"/>
    <w:rsid w:val="CF6B567C"/>
    <w:rsid w:val="D15911ED"/>
    <w:rsid w:val="D595C608"/>
    <w:rsid w:val="D6FF4A23"/>
    <w:rsid w:val="D7FEF590"/>
    <w:rsid w:val="DAF73FCE"/>
    <w:rsid w:val="DF6BCD5B"/>
    <w:rsid w:val="DFA90F3F"/>
    <w:rsid w:val="DFE501E8"/>
    <w:rsid w:val="DFEF4D04"/>
    <w:rsid w:val="DFFB5D8E"/>
    <w:rsid w:val="E3E04140"/>
    <w:rsid w:val="E77D48D3"/>
    <w:rsid w:val="E7D9E244"/>
    <w:rsid w:val="E7DFB58D"/>
    <w:rsid w:val="EBE7C4AA"/>
    <w:rsid w:val="ECFF9428"/>
    <w:rsid w:val="EFBE7BC4"/>
    <w:rsid w:val="F3B74FBB"/>
    <w:rsid w:val="F5D78B56"/>
    <w:rsid w:val="F5FFE9AA"/>
    <w:rsid w:val="F6BC93C0"/>
    <w:rsid w:val="F6BE6A28"/>
    <w:rsid w:val="F6DCB48B"/>
    <w:rsid w:val="F6FEA629"/>
    <w:rsid w:val="F779E050"/>
    <w:rsid w:val="F77B3A17"/>
    <w:rsid w:val="F79B56FA"/>
    <w:rsid w:val="F7F6C5F5"/>
    <w:rsid w:val="F7FF5FD9"/>
    <w:rsid w:val="F7FFC938"/>
    <w:rsid w:val="F9BD3C76"/>
    <w:rsid w:val="F9EF4059"/>
    <w:rsid w:val="F9FF02E0"/>
    <w:rsid w:val="F9FFB0BB"/>
    <w:rsid w:val="FABBB8FE"/>
    <w:rsid w:val="FB3CE0D1"/>
    <w:rsid w:val="FB5FF68F"/>
    <w:rsid w:val="FBAA95D5"/>
    <w:rsid w:val="FBDF0E25"/>
    <w:rsid w:val="FBF7C141"/>
    <w:rsid w:val="FBFB6C20"/>
    <w:rsid w:val="FBFF5B0C"/>
    <w:rsid w:val="FC790EF1"/>
    <w:rsid w:val="FCDCFD49"/>
    <w:rsid w:val="FD8F83A4"/>
    <w:rsid w:val="FDBB0404"/>
    <w:rsid w:val="FDBB415A"/>
    <w:rsid w:val="FDBECD5D"/>
    <w:rsid w:val="FE15A51A"/>
    <w:rsid w:val="FE7DE130"/>
    <w:rsid w:val="FEEB75C9"/>
    <w:rsid w:val="FEF7B651"/>
    <w:rsid w:val="FEFE99C1"/>
    <w:rsid w:val="FF637726"/>
    <w:rsid w:val="FF75319C"/>
    <w:rsid w:val="FF7A8E0C"/>
    <w:rsid w:val="FF7F2896"/>
    <w:rsid w:val="FFA53781"/>
    <w:rsid w:val="FFBF7899"/>
    <w:rsid w:val="FFC7966A"/>
    <w:rsid w:val="FFC7FB6B"/>
    <w:rsid w:val="FFCEC8CD"/>
    <w:rsid w:val="FFECFEEF"/>
    <w:rsid w:val="FFFFBBF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jc w:val="left"/>
      <w:outlineLvl w:val="2"/>
    </w:pPr>
    <w:rPr>
      <w:rFonts w:ascii="宋体" w:hAnsi="宋体" w:cs="宋体"/>
      <w:b/>
      <w:kern w:val="0"/>
      <w:szCs w:val="21"/>
    </w:rPr>
  </w:style>
  <w:style w:type="character" w:default="1" w:styleId="15">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First Indent"/>
    <w:basedOn w:val="4"/>
    <w:next w:val="5"/>
    <w:qFormat/>
    <w:uiPriority w:val="0"/>
    <w:pPr>
      <w:widowControl/>
      <w:spacing w:after="0" w:line="276" w:lineRule="auto"/>
      <w:ind w:firstLine="420"/>
      <w:textAlignment w:val="baseline"/>
    </w:pPr>
    <w:rPr>
      <w:rFonts w:ascii="Times New Roman" w:hAnsi="Times New Roman"/>
    </w:rPr>
  </w:style>
  <w:style w:type="paragraph" w:styleId="4">
    <w:name w:val="Body Text"/>
    <w:basedOn w:val="1"/>
    <w:next w:val="1"/>
    <w:qFormat/>
    <w:uiPriority w:val="0"/>
    <w:pPr>
      <w:widowControl/>
    </w:pPr>
    <w:rPr>
      <w:rFonts w:ascii="Times New Roman" w:hAnsi="Times New Roman" w:eastAsia="仿宋_GB2312"/>
      <w:color w:val="000000"/>
      <w:sz w:val="32"/>
      <w:szCs w:val="20"/>
    </w:rPr>
  </w:style>
  <w:style w:type="paragraph" w:styleId="5">
    <w:name w:val="Normal Indent"/>
    <w:basedOn w:val="1"/>
    <w:unhideWhenUsed/>
    <w:qFormat/>
    <w:uiPriority w:val="99"/>
    <w:pPr>
      <w:ind w:firstLine="420"/>
    </w:pPr>
    <w:rPr>
      <w:rFonts w:ascii="黑体" w:hAnsi="黑体" w:eastAsia="黑体" w:cs="宋体"/>
      <w:sz w:val="32"/>
      <w:szCs w:val="28"/>
    </w:rPr>
  </w:style>
  <w:style w:type="paragraph" w:styleId="6">
    <w:name w:val="annotation text"/>
    <w:basedOn w:val="1"/>
    <w:qFormat/>
    <w:uiPriority w:val="0"/>
    <w:pPr>
      <w:jc w:val="left"/>
    </w:pPr>
  </w:style>
  <w:style w:type="paragraph" w:styleId="7">
    <w:name w:val="Body Text Indent"/>
    <w:basedOn w:val="1"/>
    <w:unhideWhenUsed/>
    <w:qFormat/>
    <w:uiPriority w:val="99"/>
    <w:pPr>
      <w:spacing w:after="120"/>
      <w:ind w:left="420" w:leftChars="200"/>
    </w:p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Body Text First Indent 2"/>
    <w:basedOn w:val="7"/>
    <w:next w:val="1"/>
    <w:unhideWhenUsed/>
    <w:qFormat/>
    <w:uiPriority w:val="99"/>
    <w:pPr>
      <w:ind w:firstLine="420" w:firstLineChars="200"/>
    </w:pPr>
    <w:rPr>
      <w:rFonts w:ascii="Calibri" w:hAnsi="Calibri" w:eastAsia="宋体" w:cs="Times New Roman"/>
      <w:szCs w:val="24"/>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index 7"/>
    <w:basedOn w:val="1"/>
    <w:next w:val="1"/>
    <w:qFormat/>
    <w:uiPriority w:val="0"/>
    <w:pPr>
      <w:ind w:left="2520"/>
    </w:pPr>
  </w:style>
  <w:style w:type="paragraph" w:styleId="13">
    <w:name w:val="Normal (Web)"/>
    <w:basedOn w:val="1"/>
    <w:qFormat/>
    <w:uiPriority w:val="0"/>
    <w:pPr>
      <w:spacing w:before="100" w:beforeAutospacing="1" w:after="100" w:afterAutospacing="1"/>
      <w:jc w:val="left"/>
    </w:pPr>
    <w:rPr>
      <w:kern w:val="0"/>
      <w:sz w:val="24"/>
      <w:szCs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character" w:styleId="16">
    <w:name w:val="page number"/>
    <w:basedOn w:val="15"/>
    <w:qFormat/>
    <w:uiPriority w:val="0"/>
  </w:style>
  <w:style w:type="character" w:styleId="17">
    <w:name w:val="Hyperlink"/>
    <w:qFormat/>
    <w:uiPriority w:val="0"/>
    <w:rPr>
      <w:color w:val="0000FF"/>
      <w:u w:val="single"/>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0">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21">
    <w:name w:val="NormalCharacter"/>
    <w:qFormat/>
    <w:uiPriority w:val="0"/>
  </w:style>
  <w:style w:type="paragraph" w:customStyle="1" w:styleId="22">
    <w:name w:val="Char Char Char"/>
    <w:basedOn w:val="1"/>
    <w:qFormat/>
    <w:uiPriority w:val="0"/>
    <w:rPr>
      <w:rFonts w:ascii="Times New Roman" w:hAnsi="Times New Roman"/>
      <w:szCs w:val="24"/>
    </w:rPr>
  </w:style>
  <w:style w:type="paragraph" w:customStyle="1" w:styleId="23">
    <w:name w:val="页脚1"/>
    <w:basedOn w:val="1"/>
    <w:qFormat/>
    <w:uiPriority w:val="0"/>
    <w:pPr>
      <w:tabs>
        <w:tab w:val="center" w:pos="4153"/>
        <w:tab w:val="right" w:pos="8306"/>
      </w:tabs>
      <w:spacing w:line="240" w:lineRule="atLeast"/>
      <w:jc w:val="left"/>
    </w:pPr>
    <w:rPr>
      <w:sz w:val="18"/>
      <w:szCs w:val="18"/>
    </w:rPr>
  </w:style>
  <w:style w:type="paragraph" w:customStyle="1" w:styleId="24">
    <w:name w:val="Char"/>
    <w:basedOn w:val="1"/>
    <w:semiHidden/>
    <w:qFormat/>
    <w:uiPriority w:val="0"/>
    <w:rPr>
      <w:szCs w:val="24"/>
    </w:rPr>
  </w:style>
  <w:style w:type="paragraph" w:customStyle="1" w:styleId="25">
    <w:name w:val="石墨文档正文"/>
    <w:qFormat/>
    <w:uiPriority w:val="0"/>
    <w:rPr>
      <w:rFonts w:ascii="微软雅黑" w:hAnsi="微软雅黑" w:eastAsia="微软雅黑" w:cs="微软雅黑"/>
      <w:sz w:val="24"/>
      <w:szCs w:val="24"/>
      <w:lang w:val="en-US" w:eastAsia="zh-CN" w:bidi="ar-SA"/>
    </w:rPr>
  </w:style>
  <w:style w:type="paragraph" w:customStyle="1" w:styleId="26">
    <w:name w:val="[基本段落]"/>
    <w:basedOn w:val="1"/>
    <w:qFormat/>
    <w:uiPriority w:val="0"/>
    <w:pPr>
      <w:autoSpaceDE w:val="0"/>
      <w:autoSpaceDN w:val="0"/>
      <w:adjustRightInd w:val="0"/>
      <w:spacing w:line="288" w:lineRule="auto"/>
      <w:textAlignment w:val="center"/>
    </w:pPr>
    <w:rPr>
      <w:rFonts w:ascii="AdobeSongStd-Light" w:hAnsi="AdobeSongStd-Light" w:eastAsia="AdobeSongStd-Light" w:cs="AdobeSongStd-Light"/>
      <w:color w:val="000000"/>
      <w:kern w:val="0"/>
      <w:sz w:val="24"/>
      <w:szCs w:val="24"/>
      <w:lang w:val="zh-CN"/>
    </w:rPr>
  </w:style>
  <w:style w:type="paragraph" w:customStyle="1" w:styleId="27">
    <w:name w:val="标题1"/>
    <w:basedOn w:val="1"/>
    <w:next w:val="1"/>
    <w:qFormat/>
    <w:uiPriority w:val="0"/>
    <w:pPr>
      <w:tabs>
        <w:tab w:val="left" w:pos="9193"/>
        <w:tab w:val="left" w:pos="9827"/>
      </w:tabs>
      <w:spacing w:line="640" w:lineRule="atLeast"/>
      <w:jc w:val="center"/>
    </w:pPr>
    <w:rPr>
      <w:rFonts w:eastAsia="方正小标宋_GBK"/>
      <w:sz w:val="44"/>
      <w:szCs w:val="24"/>
    </w:rPr>
  </w:style>
  <w:style w:type="paragraph" w:customStyle="1" w:styleId="28">
    <w:name w:val="Char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styleId="29">
    <w:name w:val="List Paragraph"/>
    <w:basedOn w:val="1"/>
    <w:qFormat/>
    <w:uiPriority w:val="34"/>
    <w:pPr>
      <w:ind w:firstLine="420" w:firstLineChars="200"/>
    </w:pPr>
  </w:style>
  <w:style w:type="paragraph" w:customStyle="1" w:styleId="3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1">
    <w:name w:val="NormalNormal"/>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character" w:customStyle="1" w:styleId="32">
    <w:name w:val="font41"/>
    <w:basedOn w:val="15"/>
    <w:qFormat/>
    <w:uiPriority w:val="0"/>
    <w:rPr>
      <w:rFonts w:ascii="方正书宋_GBK" w:hAnsi="方正书宋_GBK" w:eastAsia="方正书宋_GBK" w:cs="方正书宋_GBK"/>
      <w:color w:val="000000"/>
      <w:sz w:val="26"/>
      <w:szCs w:val="26"/>
      <w:u w:val="none"/>
    </w:rPr>
  </w:style>
  <w:style w:type="character" w:customStyle="1" w:styleId="33">
    <w:name w:val="font31"/>
    <w:basedOn w:val="15"/>
    <w:qFormat/>
    <w:uiPriority w:val="0"/>
    <w:rPr>
      <w:rFonts w:hint="eastAsia" w:ascii="宋体" w:hAnsi="宋体" w:eastAsia="宋体" w:cs="宋体"/>
      <w:color w:val="000000"/>
      <w:sz w:val="26"/>
      <w:szCs w:val="26"/>
      <w:u w:val="none"/>
    </w:rPr>
  </w:style>
  <w:style w:type="character" w:customStyle="1" w:styleId="34">
    <w:name w:val="font61"/>
    <w:basedOn w:val="15"/>
    <w:qFormat/>
    <w:uiPriority w:val="0"/>
    <w:rPr>
      <w:rFonts w:hint="eastAsia" w:ascii="方正书宋_GBK" w:hAnsi="方正书宋_GBK" w:eastAsia="方正书宋_GBK" w:cs="方正书宋_GBK"/>
      <w:color w:val="000000"/>
      <w:sz w:val="24"/>
      <w:szCs w:val="24"/>
      <w:u w:val="none"/>
    </w:rPr>
  </w:style>
  <w:style w:type="character" w:customStyle="1" w:styleId="35">
    <w:name w:val="font71"/>
    <w:basedOn w:val="15"/>
    <w:qFormat/>
    <w:uiPriority w:val="0"/>
    <w:rPr>
      <w:rFonts w:hint="eastAsia" w:ascii="宋体" w:hAnsi="宋体" w:eastAsia="宋体" w:cs="宋体"/>
      <w:color w:val="000000"/>
      <w:sz w:val="24"/>
      <w:szCs w:val="24"/>
      <w:u w:val="none"/>
    </w:rPr>
  </w:style>
  <w:style w:type="character" w:customStyle="1" w:styleId="36">
    <w:name w:val="font01"/>
    <w:basedOn w:val="15"/>
    <w:qFormat/>
    <w:uiPriority w:val="0"/>
    <w:rPr>
      <w:rFonts w:ascii="Arial" w:hAnsi="Arial" w:cs="Arial"/>
      <w:color w:val="000000"/>
      <w:sz w:val="26"/>
      <w:szCs w:val="26"/>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jsnw</Company>
  <Pages>27</Pages>
  <Words>6115</Words>
  <Characters>6330</Characters>
  <Lines>26</Lines>
  <Paragraphs>7</Paragraphs>
  <TotalTime>104</TotalTime>
  <ScaleCrop>false</ScaleCrop>
  <LinksUpToDate>false</LinksUpToDate>
  <CharactersWithSpaces>6389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2019-04-16T16:08:00Z</dcterms:created>
  <dc:creator>lcy</dc:creator>
  <cp:lastModifiedBy>郭振环</cp:lastModifiedBy>
  <cp:lastPrinted>2025-12-18T23:21:00Z</cp:lastPrinted>
  <dcterms:modified xsi:type="dcterms:W3CDTF">2026-08-19T08:37:02Z</dcterms:modified>
  <dc:title>苏农函〔2015〕40号</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BE7AE95061874FE180BEB7969358C5A1_13</vt:lpwstr>
  </property>
  <property fmtid="{D5CDD505-2E9C-101B-9397-08002B2CF9AE}" pid="4" name="KSOTemplateDocerSaveRecord">
    <vt:lpwstr>eyJoZGlkIjoiZDI5MzVjNmE0YmFlMzQ1NTA2NGI3NDA3OTVlOTdmMTQiLCJ1c2VySWQiOiI1NzI0MDY0NzUifQ==</vt:lpwstr>
  </property>
</Properties>
</file>