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both"/>
        <w:textAlignment w:val="auto"/>
        <w:rPr>
          <w:rFonts w:hint="default" w:ascii="黑体" w:hAnsi="宋体" w:eastAsia="黑体" w:cs="黑体"/>
          <w:color w:val="auto"/>
          <w:kern w:val="0"/>
          <w:sz w:val="32"/>
          <w:szCs w:val="32"/>
          <w:lang w:val="en-US" w:eastAsia="zh-CN" w:bidi="ar"/>
        </w:rPr>
      </w:pPr>
      <w:r>
        <w:rPr>
          <w:rFonts w:hint="default" w:ascii="黑体" w:hAnsi="宋体" w:eastAsia="黑体" w:cs="黑体"/>
          <w:color w:val="auto"/>
          <w:kern w:val="0"/>
          <w:sz w:val="32"/>
          <w:szCs w:val="32"/>
          <w:lang w:val="en-US" w:eastAsia="zh-CN" w:bidi="ar"/>
        </w:rPr>
        <w:t>附件1</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both"/>
        <w:textAlignment w:val="auto"/>
        <w:rPr>
          <w:rFonts w:hint="default" w:ascii="黑体" w:hAnsi="宋体" w:eastAsia="黑体" w:cs="黑体"/>
          <w:color w:val="auto"/>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pacing w:val="-20"/>
          <w:sz w:val="44"/>
          <w:szCs w:val="44"/>
          <w:lang w:val="en-US" w:eastAsia="zh-CN"/>
        </w:rPr>
        <w:t>河北省农机购置与应用补贴“优机”评选制度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 w:hAnsi="楷体" w:eastAsia="楷体" w:cs="楷体"/>
          <w:color w:val="548235" w:themeColor="accent6" w:themeShade="BF"/>
          <w:sz w:val="36"/>
          <w:szCs w:val="36"/>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方正楷体_GBK" w:hAnsi="方正楷体_GBK" w:eastAsia="方正楷体_GBK" w:cs="方正楷体_GBK"/>
          <w:color w:val="auto"/>
          <w:sz w:val="32"/>
          <w:szCs w:val="32"/>
          <w:lang w:val="en-US" w:eastAsia="zh-CN"/>
        </w:rPr>
        <w:t>第一条  制定目的。</w:t>
      </w:r>
      <w:r>
        <w:rPr>
          <w:rFonts w:hint="eastAsia" w:ascii="仿宋_GB2312" w:hAnsi="仿宋_GB2312" w:eastAsia="仿宋_GB2312" w:cs="仿宋_GB2312"/>
          <w:color w:val="auto"/>
          <w:sz w:val="32"/>
          <w:szCs w:val="32"/>
          <w:lang w:val="en-US" w:eastAsia="zh-CN"/>
        </w:rPr>
        <w:t>为深入贯彻落实党中央、国务院有关部署要求，进一步完善农机购置与应用补贴政策，加力推进“优机优补”“有进有出”，加快推进农业机械化高质量发展，结合新形势新要求和近年我省农机化工作实践，制定本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548235" w:themeColor="accent6" w:themeShade="BF"/>
          <w:sz w:val="30"/>
          <w:szCs w:val="30"/>
          <w:lang w:val="en-US" w:eastAsia="zh-CN"/>
        </w:rPr>
      </w:pPr>
      <w:r>
        <w:rPr>
          <w:rFonts w:hint="eastAsia" w:ascii="方正楷体_GBK" w:hAnsi="方正楷体_GBK" w:eastAsia="方正楷体_GBK" w:cs="方正楷体_GBK"/>
          <w:color w:val="auto"/>
          <w:sz w:val="32"/>
          <w:szCs w:val="32"/>
          <w:lang w:val="en-US" w:eastAsia="zh-CN"/>
        </w:rPr>
        <w:t>第二条  适用范围。</w:t>
      </w:r>
      <w:r>
        <w:rPr>
          <w:rFonts w:hint="eastAsia" w:ascii="仿宋_GB2312" w:hAnsi="仿宋_GB2312" w:eastAsia="仿宋_GB2312" w:cs="仿宋_GB2312"/>
          <w:color w:val="auto"/>
          <w:sz w:val="32"/>
          <w:szCs w:val="32"/>
          <w:lang w:val="en-US" w:eastAsia="zh-CN"/>
        </w:rPr>
        <w:t>本制度适用于在国内注册的农机制造企业、科研院所及产学研联合体研发生产的符合《农业机械分类》（NY/T 1640—2021）标准，农机属性明确，满足本</w:t>
      </w:r>
      <w:r>
        <w:rPr>
          <w:rFonts w:hint="eastAsia" w:ascii="仿宋_GB2312" w:hAnsi="仿宋_GB2312" w:eastAsia="仿宋_GB2312" w:cs="仿宋_GB2312"/>
          <w:color w:val="auto"/>
          <w:sz w:val="32"/>
          <w:szCs w:val="32"/>
          <w:lang w:val="en" w:eastAsia="zh-CN"/>
        </w:rPr>
        <w:t>地区</w:t>
      </w:r>
      <w:r>
        <w:rPr>
          <w:rFonts w:hint="eastAsia" w:ascii="仿宋_GB2312" w:hAnsi="仿宋_GB2312" w:eastAsia="仿宋_GB2312" w:cs="仿宋_GB2312"/>
          <w:color w:val="auto"/>
          <w:sz w:val="32"/>
          <w:szCs w:val="32"/>
          <w:lang w:val="en-US" w:eastAsia="zh-CN"/>
        </w:rPr>
        <w:t>农业生产需求的农业机械。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548235" w:themeColor="accent6" w:themeShade="BF"/>
          <w:sz w:val="32"/>
          <w:szCs w:val="32"/>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第二章 评选原则及评选标准</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方正楷体_GBK" w:hAnsi="方正楷体_GBK" w:eastAsia="方正楷体_GBK" w:cs="方正楷体_GBK"/>
          <w:color w:val="auto"/>
          <w:sz w:val="32"/>
          <w:szCs w:val="32"/>
          <w:lang w:val="en-US" w:eastAsia="zh-CN"/>
        </w:rPr>
        <w:t>第三条  评选原则。</w:t>
      </w:r>
      <w:r>
        <w:rPr>
          <w:rFonts w:hint="eastAsia" w:ascii="仿宋_GB2312" w:hAnsi="仿宋_GB2312" w:eastAsia="仿宋_GB2312" w:cs="仿宋_GB2312"/>
          <w:color w:val="auto"/>
          <w:sz w:val="32"/>
          <w:szCs w:val="32"/>
          <w:lang w:val="en-US" w:eastAsia="zh-CN"/>
        </w:rPr>
        <w:t>范围评选坚持分区分类，问题导向与目标导向相结合的原则。结合地区差异化需求，按照“有中选优、丘陵山区补短创新”要求，重点</w:t>
      </w:r>
      <w:r>
        <w:rPr>
          <w:rFonts w:hint="eastAsia" w:ascii="仿宋_GB2312" w:hAnsi="仿宋_GB2312" w:eastAsia="仿宋_GB2312" w:cs="仿宋_GB2312"/>
          <w:color w:val="auto"/>
          <w:sz w:val="32"/>
          <w:szCs w:val="32"/>
        </w:rPr>
        <w:t>围绕保障粮油等主要作物大面积单产提升、机收减损、丘陵山区农业生产急需、农机装备补短板、农业其他领域发展急需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以及事关国家重大战略实施的农业机械的推广应用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确定“优机”范围。主要评选原则如下：</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（一）对农业机械化水平较高的平原地区，聚焦“有中选优”，综合考虑智能化特征显著、作业质量效率优势突出、作业可靠性强等技术性能。</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对农业机械化水平较低的丘陵山区，在聚焦“有中选优”的同时，要特别注重解决“无机可用”问题，按照加快满足农业生产急需要求，综合考虑安全可靠性、区域适用性、操作舒适性等技术性能，加力解决在丘陵山区具有大面积推广价值的重要机具量产应用问题。</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方正楷体_GBK" w:hAnsi="方正楷体_GBK" w:eastAsia="方正楷体_GBK" w:cs="方正楷体_GBK"/>
          <w:color w:val="auto"/>
          <w:sz w:val="32"/>
          <w:szCs w:val="32"/>
          <w:lang w:val="en-US" w:eastAsia="zh-CN"/>
        </w:rPr>
        <w:t>第四条  产品评选条件。</w:t>
      </w:r>
      <w:r>
        <w:rPr>
          <w:rFonts w:hint="eastAsia" w:ascii="仿宋_GB2312" w:hAnsi="仿宋_GB2312" w:eastAsia="仿宋_GB2312" w:cs="仿宋_GB2312"/>
          <w:color w:val="auto"/>
          <w:sz w:val="32"/>
          <w:szCs w:val="32"/>
          <w:lang w:val="en-US" w:eastAsia="zh-CN"/>
        </w:rPr>
        <w:t>产品要素评选坚持技术创新、产业需求、企业条件相结合相促进的原则，按照以下要求制定具体品目档次产品评选条件和综合性评价标准。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（一）产品要素评选标准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1.平原地区“优机”评选条件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548235" w:themeColor="accent6" w:themeShade="BF"/>
          <w:sz w:val="32"/>
          <w:szCs w:val="32"/>
          <w:lang w:val="en-US" w:eastAsia="zh-CN"/>
        </w:rPr>
      </w:pPr>
      <w:r>
        <w:rPr>
          <w:rFonts w:hint="eastAsia" w:ascii="仿宋_GB2312" w:hAnsi="仿宋_GB2312" w:eastAsia="仿宋_GB2312" w:cs="仿宋_GB2312"/>
          <w:color w:val="auto"/>
          <w:sz w:val="32"/>
          <w:szCs w:val="32"/>
          <w:lang w:val="en-US" w:eastAsia="zh-CN"/>
        </w:rPr>
        <w:t>（1）产品应适用于农业机械化水平较高的平原等连片种植区域农作物农艺要求，</w:t>
      </w:r>
      <w:r>
        <w:rPr>
          <w:rFonts w:hint="eastAsia" w:ascii="仿宋_GB2312" w:hAnsi="仿宋_GB2312" w:eastAsia="仿宋_GB2312" w:cs="仿宋_GB2312"/>
          <w:b w:val="0"/>
          <w:bCs w:val="0"/>
          <w:color w:val="auto"/>
          <w:sz w:val="32"/>
          <w:szCs w:val="32"/>
          <w:lang w:val="en-US" w:eastAsia="zh-CN"/>
        </w:rPr>
        <w:t>聚焦</w:t>
      </w:r>
      <w:r>
        <w:rPr>
          <w:rFonts w:hint="eastAsia" w:ascii="仿宋_GB2312" w:hAnsi="仿宋_GB2312" w:eastAsia="仿宋_GB2312" w:cs="仿宋_GB2312"/>
          <w:color w:val="auto"/>
          <w:sz w:val="32"/>
          <w:szCs w:val="32"/>
          <w:lang w:val="en-US" w:eastAsia="zh-CN"/>
        </w:rPr>
        <w:t>有助于大面积单产提升、农机应用同质化程度较高、机械化水平较高的产业和环节。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（2）常规产品应通过国家农业机械试验鉴定或</w:t>
      </w:r>
      <w:r>
        <w:rPr>
          <w:rFonts w:hint="eastAsia" w:ascii="仿宋_GB2312" w:hAnsi="仿宋_GB2312" w:eastAsia="仿宋_GB2312" w:cs="仿宋_GB2312"/>
          <w:i w:val="0"/>
          <w:caps w:val="0"/>
          <w:color w:val="auto"/>
          <w:spacing w:val="0"/>
          <w:sz w:val="32"/>
          <w:szCs w:val="32"/>
        </w:rPr>
        <w:t>认证</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color w:val="auto"/>
          <w:sz w:val="32"/>
          <w:szCs w:val="32"/>
          <w:lang w:val="en-US" w:eastAsia="zh-CN"/>
        </w:rPr>
        <w:t>“补短板”及创新机具应符合农业农村部、财政部印发的《2024—2026年农机购置与应用补贴实施意见》（农办机</w:t>
      </w:r>
      <w:r>
        <w:rPr>
          <w:rFonts w:hint="eastAsia" w:ascii="仿宋_GB2312" w:hAnsi="仿宋_GB2312" w:eastAsia="仿宋_GB2312" w:cs="仿宋_GB2312"/>
          <w:i w:val="0"/>
          <w:caps w:val="0"/>
          <w:color w:val="auto"/>
          <w:spacing w:val="0"/>
          <w:kern w:val="0"/>
          <w:sz w:val="32"/>
          <w:szCs w:val="32"/>
          <w:lang w:val="en-US" w:eastAsia="zh-CN" w:bidi="ar"/>
        </w:rPr>
        <w:t>〔</w:t>
      </w:r>
      <w:r>
        <w:rPr>
          <w:rFonts w:hint="eastAsia" w:ascii="仿宋_GB2312" w:hAnsi="仿宋_GB2312" w:eastAsia="仿宋_GB2312" w:cs="仿宋_GB2312"/>
          <w:color w:val="auto"/>
          <w:sz w:val="32"/>
          <w:szCs w:val="32"/>
          <w:lang w:val="en-US" w:eastAsia="zh-CN"/>
        </w:rPr>
        <w:t>2024〕3号）中农机创新产品认定条件。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（3）产品智能化特征显著，基本智能化软硬件配置齐全，且符合相关产品标准及规范要求。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（4）作业质量效率突出，对比行业同档次产品在作业效率（单位时间有效作业量）、能耗效率（单位时间能源消耗量）和作业质量（单位时间作业合格率）等方面具有明显优势。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（5）产品可靠性高，如国家、行业标准有可靠性要求，应提供符合国家、行业标准等规定可靠性试验报告。</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2.丘陵山区“优机”评选条件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（1）产品应适用于我省丘陵山区农作物农艺要求，有助于提高粮食和重要农产品生产机械化水平、满足农业生产急需。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（2）常规产品应通过国家农业机械试验鉴定或</w:t>
      </w:r>
      <w:r>
        <w:rPr>
          <w:rFonts w:hint="eastAsia" w:ascii="仿宋_GB2312" w:hAnsi="仿宋_GB2312" w:eastAsia="仿宋_GB2312" w:cs="仿宋_GB2312"/>
          <w:i w:val="0"/>
          <w:caps w:val="0"/>
          <w:color w:val="auto"/>
          <w:spacing w:val="0"/>
          <w:sz w:val="32"/>
          <w:szCs w:val="32"/>
        </w:rPr>
        <w:t>认证</w:t>
      </w:r>
      <w:r>
        <w:rPr>
          <w:rFonts w:hint="eastAsia" w:ascii="仿宋_GB2312" w:hAnsi="仿宋_GB2312" w:eastAsia="仿宋_GB2312" w:cs="仿宋_GB2312"/>
          <w:i w:val="0"/>
          <w:caps w:val="0"/>
          <w:color w:val="auto"/>
          <w:spacing w:val="0"/>
          <w:sz w:val="32"/>
          <w:szCs w:val="32"/>
          <w:lang w:eastAsia="zh-CN"/>
        </w:rPr>
        <w:t>，</w:t>
      </w:r>
      <w:r>
        <w:rPr>
          <w:rFonts w:hint="eastAsia" w:ascii="仿宋_GB2312" w:hAnsi="仿宋_GB2312" w:eastAsia="仿宋_GB2312" w:cs="仿宋_GB2312"/>
          <w:color w:val="auto"/>
          <w:sz w:val="32"/>
          <w:szCs w:val="32"/>
          <w:lang w:val="en-US" w:eastAsia="zh-CN"/>
        </w:rPr>
        <w:t>“补短板”及创新机具应符合农业农村部、财政部印发的《2024—2026年农机购置与应用补贴实施意见》（农办机</w:t>
      </w:r>
      <w:r>
        <w:rPr>
          <w:rFonts w:hint="eastAsia" w:ascii="仿宋_GB2312" w:hAnsi="仿宋_GB2312" w:eastAsia="仿宋_GB2312" w:cs="仿宋_GB2312"/>
          <w:i w:val="0"/>
          <w:caps w:val="0"/>
          <w:color w:val="auto"/>
          <w:spacing w:val="0"/>
          <w:kern w:val="0"/>
          <w:sz w:val="32"/>
          <w:szCs w:val="32"/>
          <w:lang w:val="en-US" w:eastAsia="zh-CN" w:bidi="ar"/>
        </w:rPr>
        <w:t>〔</w:t>
      </w:r>
      <w:r>
        <w:rPr>
          <w:rFonts w:hint="eastAsia" w:ascii="仿宋_GB2312" w:hAnsi="仿宋_GB2312" w:eastAsia="仿宋_GB2312" w:cs="仿宋_GB2312"/>
          <w:color w:val="auto"/>
          <w:sz w:val="32"/>
          <w:szCs w:val="32"/>
          <w:lang w:val="en-US" w:eastAsia="zh-CN"/>
        </w:rPr>
        <w:t>2024〕3号）中农机创新产品认定条件。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（3）产品安全性应符合国家强制性标准GB 10395《农林机械安全》等标准体系对应的具体类型产品安全要求。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（4）产品可靠性高，如国家、行业标准有可靠性要求，应提供符合国家、行业标准等规定可靠性试验报告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（5）区域适用性强，至少有5个不同县区作业适用性评价证明。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（6）操作舒适性高，应至少有10个以上代表性农机服务组织产品认可评价证明。</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（7）产品经济性应符合成本可控、有效降低劳动强度或显著提升生产效率等要求。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（二）综合性评价标准。</w:t>
      </w:r>
      <w:r>
        <w:rPr>
          <w:rFonts w:hint="eastAsia" w:ascii="仿宋_GB2312" w:hAnsi="仿宋_GB2312" w:eastAsia="仿宋_GB2312" w:cs="仿宋_GB2312"/>
          <w:color w:val="auto"/>
          <w:sz w:val="32"/>
          <w:szCs w:val="32"/>
          <w:lang w:val="en-US" w:eastAsia="zh-CN"/>
        </w:rPr>
        <w:t>在满足产品要素评选标准要求下，企业产品还应符合以下条件（具体条件按照确定的品目档次产品补充制定，丘陵山区农业生产急需的机具可适度放宽）：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1.自主创新和安全可控。产品获得省部级以上科技奖励、具有相关核心专利技术</w:t>
      </w:r>
      <w:r>
        <w:rPr>
          <w:rFonts w:hint="eastAsia" w:ascii="仿宋_GB2312" w:hAnsi="仿宋_GB2312" w:eastAsia="仿宋_GB2312" w:cs="仿宋_GB2312"/>
          <w:color w:val="auto"/>
          <w:sz w:val="32"/>
          <w:szCs w:val="32"/>
          <w:highlight w:val="none"/>
          <w:lang w:val="en-US" w:eastAsia="zh-CN"/>
        </w:rPr>
        <w:t>（核心部件自主研发发明专利）</w:t>
      </w:r>
      <w:r>
        <w:rPr>
          <w:rFonts w:hint="eastAsia" w:ascii="仿宋_GB2312" w:hAnsi="仿宋_GB2312" w:eastAsia="仿宋_GB2312" w:cs="仿宋_GB2312"/>
          <w:color w:val="auto"/>
          <w:sz w:val="32"/>
          <w:szCs w:val="32"/>
          <w:lang w:val="en-US" w:eastAsia="zh-CN"/>
        </w:rPr>
        <w:t>或具备省级以上技术先进性评价证明等条件之一。</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2.补短板及国产化</w:t>
      </w:r>
      <w:r>
        <w:rPr>
          <w:rFonts w:hint="eastAsia" w:ascii="仿宋_GB2312" w:hAnsi="仿宋_GB2312" w:eastAsia="仿宋_GB2312" w:cs="仿宋_GB2312"/>
          <w:color w:val="auto"/>
          <w:sz w:val="32"/>
          <w:szCs w:val="32"/>
          <w:highlight w:val="none"/>
          <w:lang w:val="en-US" w:eastAsia="zh-CN"/>
        </w:rPr>
        <w:t>替代预期明显。关键零部件的自主化率≥90%，3年内达到自主化率95%以上。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3.研发投入占销售收入比。</w:t>
      </w:r>
      <w:r>
        <w:rPr>
          <w:rFonts w:hint="eastAsia" w:ascii="仿宋_GB2312" w:hAnsi="仿宋_GB2312" w:eastAsia="仿宋_GB2312" w:cs="仿宋_GB2312"/>
          <w:color w:val="auto"/>
          <w:sz w:val="32"/>
          <w:szCs w:val="32"/>
          <w:highlight w:val="none"/>
          <w:lang w:val="en-US" w:eastAsia="zh-CN"/>
        </w:rPr>
        <w:t>研发投入占销售收入比≥3%。</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4.售后服务体系和能力。</w:t>
      </w:r>
      <w:r>
        <w:rPr>
          <w:rFonts w:hint="eastAsia" w:ascii="仿宋_GB2312" w:hAnsi="仿宋_GB2312" w:eastAsia="仿宋_GB2312" w:cs="仿宋_GB2312"/>
          <w:color w:val="auto"/>
          <w:sz w:val="32"/>
          <w:szCs w:val="32"/>
        </w:rPr>
        <w:t>①服务网络：具备完善的售后服务网络，确保售后服务覆盖面和响应速度，满足用户服务诉求“24h服务完结”。②服务能力：具备与销售产品和销售范围相适应的服务能力。包括设立有专门的服务管理部门，制定并实施“三包”流程、维修服务网点管理等服务制度。③人员资质：服务人员应具备相应的专业知识和技能。有完善的服务人员培训与考核标准，定期对服务人员进行培训，以提高服务人员的服务水平。④备件供应：具备完善的备件供应链，确保备件的及时供应。在重点区域建立升级备件库体系，可以对常用备件实施动态库存监控与补充，保障备件供应及时性。</w:t>
      </w:r>
      <w:r>
        <w:rPr>
          <w:rFonts w:hint="eastAsia" w:ascii="仿宋_GB2312" w:hAnsi="仿宋_GB2312" w:eastAsia="仿宋_GB2312" w:cs="仿宋_GB2312"/>
          <w:color w:val="auto"/>
          <w:sz w:val="32"/>
          <w:szCs w:val="32"/>
          <w:lang w:val="en-US" w:eastAsia="zh-CN"/>
        </w:rPr>
        <w:t>可提供备用机具，出现重大故障短时间无法排除时，可及时使用备用机具。</w:t>
      </w:r>
      <w:r>
        <w:rPr>
          <w:rFonts w:hint="eastAsia" w:ascii="仿宋_GB2312" w:hAnsi="仿宋_GB2312" w:eastAsia="仿宋_GB2312" w:cs="仿宋_GB2312"/>
          <w:color w:val="auto"/>
          <w:sz w:val="32"/>
          <w:szCs w:val="32"/>
        </w:rPr>
        <w:t>⑤服务流程：具备有标准化的服务流程，包括服务预约、故障诊断、维修方案制定、备件更换、服务后的检查和客户满意度调查等环节。可以通过服务流程的标准化，确保服务的一致性和可预测性。⑥用户满意度：</w:t>
      </w:r>
      <w:r>
        <w:rPr>
          <w:rFonts w:hint="eastAsia" w:ascii="仿宋_GB2312" w:hAnsi="仿宋_GB2312" w:eastAsia="仿宋_GB2312" w:cs="仿宋_GB2312"/>
          <w:color w:val="auto"/>
          <w:sz w:val="32"/>
          <w:szCs w:val="32"/>
          <w:lang w:val="en-US" w:eastAsia="zh-CN"/>
        </w:rPr>
        <w:t>具体完善的用户售后回访流程，可详尽收集用户对售后服务的感受，并统计分析用户满意度评价结果。对反馈信息应采取改进措施，</w:t>
      </w:r>
      <w:r>
        <w:rPr>
          <w:rFonts w:hint="eastAsia" w:ascii="仿宋_GB2312" w:hAnsi="仿宋_GB2312" w:eastAsia="仿宋_GB2312" w:cs="仿宋_GB2312"/>
          <w:color w:val="auto"/>
          <w:sz w:val="32"/>
          <w:szCs w:val="32"/>
        </w:rPr>
        <w:t>不断改善用户对售后服务的满意度。</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lang w:val="en-US" w:eastAsia="zh-CN"/>
        </w:rPr>
        <w:t>5.生产工厂条件。企业具备通过相关机构组织开展的工厂条件审查或通过ISO9001质量管理体系认证等条件之一。</w:t>
      </w:r>
      <w:r>
        <w:rPr>
          <w:rFonts w:hint="eastAsia" w:ascii="仿宋_GB2312" w:hAnsi="仿宋_GB2312" w:eastAsia="仿宋_GB2312" w:cs="仿宋_GB2312"/>
          <w:color w:val="auto"/>
          <w:sz w:val="32"/>
          <w:szCs w:val="32"/>
          <w:highlight w:val="none"/>
          <w:lang w:val="en-US" w:eastAsia="zh-CN"/>
        </w:rPr>
        <w:t>守法经营，最近三年内经营活动没有重大违法记录、重大安全事故等，无重大社会不良影响事件，未因违法经营受到刑事处罚或者责令停产停业、吊销许可证或者执照、较大数额罚款等行政处罚。企业从事研发和相关技术创新活动的科技人员占企业当年职工总数的比例不低于10%。</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6.代表性农机服务组织认可度。调查服务组织≥10个；服务组织满意度≥90%。</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highlight w:val="none"/>
          <w:lang w:val="en-US" w:eastAsia="zh-CN"/>
        </w:rPr>
        <w:t>7.近年销售量。近三年每年销售数量≥20台（套）（“补短</w:t>
      </w:r>
      <w:r>
        <w:rPr>
          <w:rFonts w:hint="eastAsia" w:ascii="仿宋_GB2312" w:hAnsi="仿宋_GB2312" w:eastAsia="仿宋_GB2312" w:cs="仿宋_GB2312"/>
          <w:color w:val="auto"/>
          <w:sz w:val="32"/>
          <w:szCs w:val="32"/>
          <w:lang w:val="en-US" w:eastAsia="zh-CN"/>
        </w:rPr>
        <w:t>板”及创新机具除外）。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548235" w:themeColor="accent6" w:themeShade="BF"/>
          <w:sz w:val="32"/>
          <w:szCs w:val="3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 w:eastAsia="zh-CN"/>
        </w:rPr>
        <w:t xml:space="preserve">第三章 </w:t>
      </w:r>
      <w:r>
        <w:rPr>
          <w:rFonts w:hint="eastAsia" w:ascii="黑体" w:hAnsi="黑体" w:eastAsia="黑体" w:cs="黑体"/>
          <w:color w:val="auto"/>
          <w:sz w:val="32"/>
          <w:szCs w:val="32"/>
          <w:lang w:val="en-US" w:eastAsia="zh-CN"/>
        </w:rPr>
        <w:t>评选程序</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方正楷体_GBK" w:hAnsi="方正楷体_GBK" w:eastAsia="方正楷体_GBK" w:cs="方正楷体_GBK"/>
          <w:color w:val="auto"/>
          <w:sz w:val="32"/>
          <w:szCs w:val="32"/>
          <w:lang w:val="en-US" w:eastAsia="zh-CN"/>
        </w:rPr>
        <w:t>第五条  评选流程。</w:t>
      </w:r>
      <w:r>
        <w:rPr>
          <w:rFonts w:hint="eastAsia" w:ascii="仿宋_GB2312" w:hAnsi="仿宋_GB2312" w:eastAsia="仿宋_GB2312" w:cs="仿宋_GB2312"/>
          <w:color w:val="auto"/>
          <w:sz w:val="32"/>
          <w:szCs w:val="32"/>
          <w:lang w:val="en-US" w:eastAsia="zh-CN"/>
        </w:rPr>
        <w:t>采取“范围确定、产品遴选、现场演示、公示公告、动态调整”的方式。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（一）范围确定。依据评选原则，结合部司相关要求和本省实际确定“优机”范围，发布“优机优补”机具补贴额一览表。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（二）产品遴选。生产企业根据“优机优补”机具补贴额一览表自愿申报参与“优机优补”工作，按照实施方案要求投档提交有关证明材料，</w:t>
      </w:r>
      <w:r>
        <w:rPr>
          <w:rFonts w:hint="eastAsia" w:ascii="仿宋_GB2312" w:hAnsi="仿宋_GB2312" w:eastAsia="仿宋_GB2312" w:cs="仿宋_GB2312"/>
          <w:color w:val="auto"/>
          <w:sz w:val="32"/>
          <w:szCs w:val="32"/>
          <w:highlight w:val="none"/>
          <w:lang w:val="en-US" w:eastAsia="zh-CN"/>
        </w:rPr>
        <w:t>省农业农村厅</w:t>
      </w:r>
      <w:r>
        <w:rPr>
          <w:rFonts w:hint="eastAsia" w:ascii="仿宋_GB2312" w:hAnsi="仿宋_GB2312" w:eastAsia="仿宋_GB2312" w:cs="仿宋_GB2312"/>
          <w:color w:val="auto"/>
          <w:sz w:val="32"/>
          <w:szCs w:val="32"/>
          <w:lang w:val="en-US" w:eastAsia="zh-CN"/>
        </w:rPr>
        <w:t>根据实际组织专家依据评选制度及其他相关要求开展“优机”产品评审工作。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（三）现场演示。省农业农村厅根据“优机”产品评审遴选结果，分批次组织对相关产品进行现场演示试验。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（四）公示公告。对于现场演示试验通过的“优机”企业产品，在各级农业农村部门网站、农机购置与应用补贴信息公开专栏等公示公告。</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动态调整。结合“优机”调查制度和成本效益评价制度，阶段性综合评估“优机”产品技术迭代（是否推出升级机型或技术提升）、市场占有率变化、农户满意度波动、对产业升级贡献度及企业发展等情况，动态调整“优机”范围及补贴产品。</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548235" w:themeColor="accent6" w:themeShade="BF"/>
          <w:sz w:val="32"/>
          <w:szCs w:val="32"/>
          <w:lang w:val="en-US" w:eastAsia="zh-CN"/>
        </w:rPr>
      </w:pP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 w:eastAsia="zh-CN"/>
        </w:rPr>
        <w:t xml:space="preserve">第四章 </w:t>
      </w:r>
      <w:r>
        <w:rPr>
          <w:rFonts w:hint="eastAsia" w:ascii="黑体" w:hAnsi="黑体" w:eastAsia="黑体" w:cs="黑体"/>
          <w:color w:val="auto"/>
          <w:sz w:val="32"/>
          <w:szCs w:val="32"/>
          <w:lang w:val="en-US" w:eastAsia="zh-CN"/>
        </w:rPr>
        <w:t>监管及保障</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方正楷体_GBK" w:hAnsi="方正楷体_GBK" w:eastAsia="方正楷体_GBK" w:cs="方正楷体_GBK"/>
          <w:color w:val="auto"/>
          <w:sz w:val="32"/>
          <w:szCs w:val="32"/>
          <w:lang w:val="en-US" w:eastAsia="zh-CN"/>
        </w:rPr>
        <w:t>第六条  动态监管及质量追溯机制。</w:t>
      </w:r>
      <w:r>
        <w:rPr>
          <w:rFonts w:hint="eastAsia" w:ascii="仿宋_GB2312" w:hAnsi="仿宋_GB2312" w:eastAsia="仿宋_GB2312" w:cs="仿宋_GB2312"/>
          <w:color w:val="auto"/>
          <w:sz w:val="32"/>
          <w:szCs w:val="32"/>
          <w:lang w:val="en-US" w:eastAsia="zh-CN"/>
        </w:rPr>
        <w:t>构建“优机评选—补贴推广—应用调查—反馈退出”“有进有出”闭环管理的动态监管质量追溯机制，形成优质优价优效的市场环境。补贴额在1万元以上的“优机”产品应加装定位终端，实时监测作业数据，建立“一机一档”电子档案。</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出现以下情形退出“优机”序列，视情形研判追究责任：</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不符合“优机”质量承诺与动态调查制度要求的，不符合“优机”成本效益评价制度要求的，被省级以上市场监督管理部门抽检不合格的，发生重大质量事故或安全事故的，用户有效投诉率≥10%且未按期整改的，连续两年销量同比下降≥20%的（非市场总需求下降影响），存在其他严重影响优机优补政策实施行为的。</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B37BD1"/>
    <w:rsid w:val="21B37B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2026-08-19T08:32:00Z</dcterms:created>
  <dc:creator>郭振环</dc:creator>
  <cp:lastModifiedBy>郭振环</cp:lastModifiedBy>
  <dcterms:modified xsi:type="dcterms:W3CDTF">2026-08-19T08:32:58Z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